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69CA" w14:textId="77777777" w:rsidR="00E14FCF" w:rsidRDefault="00E14FCF" w:rsidP="00222ABF">
      <w:pPr>
        <w:spacing w:after="160" w:line="259" w:lineRule="auto"/>
        <w:jc w:val="center"/>
        <w:rPr>
          <w:rFonts w:ascii="Garamond" w:eastAsia="Times New Roman" w:hAnsi="Garamond" w:cs="Times New Roman"/>
          <w:b/>
          <w:sz w:val="32"/>
          <w:szCs w:val="32"/>
          <w:highlight w:val="lightGray"/>
        </w:rPr>
      </w:pPr>
    </w:p>
    <w:p w14:paraId="587858EA" w14:textId="77777777" w:rsidR="00E14FCF" w:rsidRDefault="00E14FCF" w:rsidP="00222ABF">
      <w:pPr>
        <w:spacing w:after="160" w:line="259" w:lineRule="auto"/>
        <w:jc w:val="center"/>
        <w:rPr>
          <w:rFonts w:ascii="Garamond" w:eastAsia="Times New Roman" w:hAnsi="Garamond" w:cs="Times New Roman"/>
          <w:b/>
          <w:sz w:val="32"/>
          <w:szCs w:val="32"/>
          <w:highlight w:val="lightGray"/>
        </w:rPr>
      </w:pPr>
    </w:p>
    <w:p w14:paraId="10396B56" w14:textId="77777777" w:rsidR="00E14FCF" w:rsidRDefault="00E14FCF" w:rsidP="00222ABF">
      <w:pPr>
        <w:spacing w:after="160" w:line="259" w:lineRule="auto"/>
        <w:jc w:val="center"/>
        <w:rPr>
          <w:rFonts w:ascii="Garamond" w:eastAsia="Times New Roman" w:hAnsi="Garamond" w:cs="Times New Roman"/>
          <w:b/>
          <w:sz w:val="32"/>
          <w:szCs w:val="32"/>
          <w:highlight w:val="lightGray"/>
        </w:rPr>
      </w:pPr>
    </w:p>
    <w:p w14:paraId="3405B9F3" w14:textId="77777777" w:rsidR="00E14FCF" w:rsidRDefault="00E14FCF" w:rsidP="00222ABF">
      <w:pPr>
        <w:spacing w:after="160" w:line="259" w:lineRule="auto"/>
        <w:jc w:val="center"/>
        <w:rPr>
          <w:rFonts w:ascii="Garamond" w:eastAsia="Times New Roman" w:hAnsi="Garamond" w:cs="Times New Roman"/>
          <w:b/>
          <w:sz w:val="32"/>
          <w:szCs w:val="32"/>
          <w:highlight w:val="lightGray"/>
        </w:rPr>
      </w:pPr>
    </w:p>
    <w:p w14:paraId="336FCB9C" w14:textId="05D769E2" w:rsidR="00E14FCF" w:rsidRPr="00E14FCF" w:rsidRDefault="00222ABF" w:rsidP="00222ABF">
      <w:pPr>
        <w:spacing w:after="160" w:line="259" w:lineRule="auto"/>
        <w:jc w:val="center"/>
        <w:rPr>
          <w:rFonts w:ascii="Garamond" w:eastAsia="Times New Roman" w:hAnsi="Garamond" w:cs="Times New Roman"/>
          <w:b/>
          <w:sz w:val="32"/>
          <w:szCs w:val="32"/>
          <w:highlight w:val="lightGray"/>
        </w:rPr>
      </w:pPr>
      <w:r w:rsidRPr="00E14FCF">
        <w:rPr>
          <w:rFonts w:ascii="Garamond" w:eastAsia="Times New Roman" w:hAnsi="Garamond" w:cs="Times New Roman"/>
          <w:b/>
          <w:sz w:val="32"/>
          <w:szCs w:val="32"/>
          <w:highlight w:val="lightGray"/>
        </w:rPr>
        <w:t>A Review of the Circular Economy state-of-the-practice</w:t>
      </w:r>
    </w:p>
    <w:p w14:paraId="7A651525" w14:textId="07FF26B2" w:rsidR="00E14FCF" w:rsidRDefault="00E14FCF" w:rsidP="00E14FCF">
      <w:pPr>
        <w:spacing w:after="160" w:line="259" w:lineRule="auto"/>
        <w:rPr>
          <w:rFonts w:ascii="Garamond" w:eastAsia="Times New Roman" w:hAnsi="Garamond" w:cs="Times New Roman"/>
          <w:b/>
          <w:sz w:val="24"/>
          <w:szCs w:val="24"/>
          <w:highlight w:val="lightGray"/>
        </w:rPr>
      </w:pPr>
    </w:p>
    <w:p w14:paraId="17A49022" w14:textId="50DDD56A" w:rsidR="00E14FCF" w:rsidRPr="00A574F9" w:rsidRDefault="00E14FCF" w:rsidP="00E14FCF">
      <w:pPr>
        <w:jc w:val="center"/>
        <w:rPr>
          <w:rFonts w:ascii="Garamond" w:eastAsia="Lato" w:hAnsi="Garamond" w:cs="Lato"/>
          <w:b/>
          <w:bCs/>
          <w:iCs/>
          <w:sz w:val="24"/>
          <w:szCs w:val="24"/>
        </w:rPr>
      </w:pPr>
      <w:r w:rsidRPr="00A574F9">
        <w:rPr>
          <w:rFonts w:ascii="Garamond" w:eastAsia="Lato" w:hAnsi="Garamond" w:cs="Lato"/>
          <w:b/>
          <w:bCs/>
          <w:iCs/>
          <w:sz w:val="24"/>
          <w:szCs w:val="24"/>
        </w:rPr>
        <w:t>Tommaso Calzolari</w:t>
      </w:r>
      <w:r w:rsidR="005A1A29">
        <w:rPr>
          <w:rFonts w:ascii="Garamond" w:eastAsia="Lato" w:hAnsi="Garamond" w:cs="Lato"/>
          <w:b/>
          <w:bCs/>
          <w:iCs/>
          <w:sz w:val="24"/>
          <w:szCs w:val="24"/>
        </w:rPr>
        <w:t>, Andrea Genovese</w:t>
      </w:r>
    </w:p>
    <w:p w14:paraId="0E3FC0E8" w14:textId="77777777" w:rsidR="005A1A29" w:rsidRDefault="005A1A29" w:rsidP="00E14FCF">
      <w:pPr>
        <w:jc w:val="center"/>
        <w:rPr>
          <w:rFonts w:ascii="Garamond" w:eastAsia="Lato" w:hAnsi="Garamond" w:cs="Lato"/>
          <w:iCs/>
          <w:sz w:val="24"/>
          <w:szCs w:val="24"/>
        </w:rPr>
      </w:pPr>
    </w:p>
    <w:p w14:paraId="176F15F8" w14:textId="125CD40D" w:rsidR="00E14FCF" w:rsidRPr="00754278" w:rsidRDefault="00E14FCF" w:rsidP="00E14FCF">
      <w:pPr>
        <w:jc w:val="center"/>
        <w:rPr>
          <w:rFonts w:ascii="Garamond" w:eastAsia="Lato" w:hAnsi="Garamond" w:cs="Lato"/>
          <w:iCs/>
          <w:sz w:val="24"/>
          <w:szCs w:val="24"/>
        </w:rPr>
      </w:pPr>
      <w:r w:rsidRPr="00754278">
        <w:rPr>
          <w:rFonts w:ascii="Garamond" w:eastAsia="Lato" w:hAnsi="Garamond" w:cs="Lato"/>
          <w:iCs/>
          <w:sz w:val="24"/>
          <w:szCs w:val="24"/>
        </w:rPr>
        <w:t>Sheffield University Management School</w:t>
      </w:r>
    </w:p>
    <w:p w14:paraId="03B3FB9C" w14:textId="77777777" w:rsidR="005A1A29" w:rsidRDefault="005A1A29" w:rsidP="005A1A29">
      <w:pPr>
        <w:jc w:val="center"/>
        <w:rPr>
          <w:rFonts w:ascii="Garamond" w:eastAsia="Lato" w:hAnsi="Garamond" w:cs="Lato"/>
          <w:iCs/>
          <w:sz w:val="24"/>
          <w:szCs w:val="24"/>
        </w:rPr>
      </w:pPr>
      <w:r>
        <w:rPr>
          <w:rFonts w:ascii="Garamond" w:eastAsia="Lato" w:hAnsi="Garamond" w:cs="Lato"/>
          <w:iCs/>
          <w:sz w:val="24"/>
          <w:szCs w:val="24"/>
        </w:rPr>
        <w:t>University of Sheffield</w:t>
      </w:r>
    </w:p>
    <w:p w14:paraId="1BAA8BFC" w14:textId="68ADF121" w:rsidR="00E14FCF" w:rsidRPr="00754278" w:rsidRDefault="00E14FCF" w:rsidP="00E14FCF">
      <w:pPr>
        <w:jc w:val="center"/>
        <w:rPr>
          <w:rFonts w:ascii="Garamond" w:eastAsia="Lato" w:hAnsi="Garamond" w:cs="Lato"/>
          <w:iCs/>
          <w:sz w:val="24"/>
          <w:szCs w:val="24"/>
        </w:rPr>
      </w:pPr>
      <w:r w:rsidRPr="00754278">
        <w:rPr>
          <w:rFonts w:ascii="Garamond" w:eastAsia="Lato" w:hAnsi="Garamond" w:cs="Lato"/>
          <w:iCs/>
          <w:sz w:val="24"/>
          <w:szCs w:val="24"/>
        </w:rPr>
        <w:t>Conduit Road</w:t>
      </w:r>
    </w:p>
    <w:p w14:paraId="5D3B37B4" w14:textId="77777777" w:rsidR="005A1A29" w:rsidRDefault="00E14FCF" w:rsidP="00E14FCF">
      <w:pPr>
        <w:jc w:val="center"/>
        <w:rPr>
          <w:rFonts w:ascii="Garamond" w:eastAsia="Lato" w:hAnsi="Garamond" w:cs="Lato"/>
          <w:iCs/>
          <w:sz w:val="24"/>
          <w:szCs w:val="24"/>
        </w:rPr>
      </w:pPr>
      <w:r w:rsidRPr="00754278">
        <w:rPr>
          <w:rFonts w:ascii="Garamond" w:eastAsia="Lato" w:hAnsi="Garamond" w:cs="Lato"/>
          <w:iCs/>
          <w:sz w:val="24"/>
          <w:szCs w:val="24"/>
        </w:rPr>
        <w:t xml:space="preserve">Sheffield </w:t>
      </w:r>
    </w:p>
    <w:p w14:paraId="78C9018F" w14:textId="2AC83237" w:rsidR="00E14FCF" w:rsidRPr="00D0437C" w:rsidRDefault="00E14FCF" w:rsidP="00E14FCF">
      <w:pPr>
        <w:jc w:val="center"/>
        <w:rPr>
          <w:rFonts w:ascii="Garamond" w:eastAsia="Lato" w:hAnsi="Garamond" w:cs="Lato"/>
          <w:iCs/>
          <w:sz w:val="24"/>
          <w:szCs w:val="24"/>
          <w:lang w:val="nl-NL"/>
        </w:rPr>
      </w:pPr>
      <w:r w:rsidRPr="00D0437C">
        <w:rPr>
          <w:rFonts w:ascii="Garamond" w:eastAsia="Lato" w:hAnsi="Garamond" w:cs="Lato"/>
          <w:iCs/>
          <w:sz w:val="24"/>
          <w:szCs w:val="24"/>
          <w:lang w:val="nl-NL"/>
        </w:rPr>
        <w:t>S10 1FL, UK</w:t>
      </w:r>
    </w:p>
    <w:p w14:paraId="577F6D84" w14:textId="77777777" w:rsidR="005A1A29" w:rsidRPr="00D0437C" w:rsidRDefault="005A1A29" w:rsidP="00E14FCF">
      <w:pPr>
        <w:jc w:val="center"/>
        <w:rPr>
          <w:rFonts w:ascii="Garamond" w:eastAsia="Lato" w:hAnsi="Garamond" w:cs="Lato"/>
          <w:iCs/>
          <w:sz w:val="24"/>
          <w:szCs w:val="24"/>
          <w:lang w:val="nl-NL"/>
        </w:rPr>
      </w:pPr>
    </w:p>
    <w:p w14:paraId="524DC1EF" w14:textId="43D4D86C" w:rsidR="00E14FCF" w:rsidRPr="00D0437C" w:rsidRDefault="005A1A29" w:rsidP="00E14FCF">
      <w:pPr>
        <w:jc w:val="center"/>
        <w:rPr>
          <w:rFonts w:ascii="Garamond" w:eastAsia="Lato" w:hAnsi="Garamond" w:cs="Lato"/>
          <w:iCs/>
          <w:sz w:val="24"/>
          <w:szCs w:val="24"/>
          <w:lang w:val="nl-NL"/>
        </w:rPr>
      </w:pPr>
      <w:r w:rsidRPr="00D0437C">
        <w:rPr>
          <w:rFonts w:ascii="Garamond" w:eastAsia="Lato" w:hAnsi="Garamond" w:cs="Lato"/>
          <w:iCs/>
          <w:sz w:val="24"/>
          <w:szCs w:val="24"/>
          <w:lang w:val="nl-NL"/>
        </w:rPr>
        <w:t>+44(0)1142223347</w:t>
      </w:r>
    </w:p>
    <w:p w14:paraId="699EF654" w14:textId="77777777" w:rsidR="005A1A29" w:rsidRPr="00D0437C" w:rsidRDefault="005A1A29" w:rsidP="00E14FCF">
      <w:pPr>
        <w:jc w:val="center"/>
        <w:rPr>
          <w:rFonts w:ascii="Garamond" w:eastAsia="Lato" w:hAnsi="Garamond" w:cs="Lato"/>
          <w:iCs/>
          <w:sz w:val="24"/>
          <w:szCs w:val="24"/>
          <w:lang w:val="nl-NL"/>
        </w:rPr>
      </w:pPr>
    </w:p>
    <w:p w14:paraId="0C15D8C0" w14:textId="4E994954" w:rsidR="00E14FCF" w:rsidRPr="00D0437C" w:rsidRDefault="005A1A29" w:rsidP="00E14FCF">
      <w:pPr>
        <w:jc w:val="center"/>
        <w:rPr>
          <w:rFonts w:ascii="Garamond" w:eastAsia="Lato" w:hAnsi="Garamond" w:cs="Lato"/>
          <w:iCs/>
          <w:sz w:val="24"/>
          <w:szCs w:val="24"/>
          <w:lang w:val="nl-NL"/>
        </w:rPr>
      </w:pPr>
      <w:r w:rsidRPr="00D0437C">
        <w:rPr>
          <w:rFonts w:ascii="Garamond" w:eastAsia="Lato" w:hAnsi="Garamond" w:cs="Lato"/>
          <w:iCs/>
          <w:sz w:val="24"/>
          <w:szCs w:val="24"/>
          <w:lang w:val="nl-NL"/>
        </w:rPr>
        <w:t>{</w:t>
      </w:r>
      <w:r w:rsidR="00E14FCF" w:rsidRPr="00D0437C">
        <w:rPr>
          <w:rFonts w:ascii="Garamond" w:eastAsia="Lato" w:hAnsi="Garamond" w:cs="Lato"/>
          <w:iCs/>
          <w:sz w:val="24"/>
          <w:szCs w:val="24"/>
          <w:lang w:val="nl-NL"/>
        </w:rPr>
        <w:t>t.calzolari</w:t>
      </w:r>
      <w:r w:rsidRPr="00D0437C">
        <w:rPr>
          <w:rFonts w:ascii="Garamond" w:eastAsia="Lato" w:hAnsi="Garamond" w:cs="Lato"/>
          <w:iCs/>
          <w:sz w:val="24"/>
          <w:szCs w:val="24"/>
          <w:lang w:val="nl-NL"/>
        </w:rPr>
        <w:t>, a.genovese}</w:t>
      </w:r>
      <w:r w:rsidR="00E14FCF" w:rsidRPr="00D0437C">
        <w:rPr>
          <w:rFonts w:ascii="Garamond" w:eastAsia="Lato" w:hAnsi="Garamond" w:cs="Lato"/>
          <w:iCs/>
          <w:sz w:val="24"/>
          <w:szCs w:val="24"/>
          <w:lang w:val="nl-NL"/>
        </w:rPr>
        <w:t>@sheffield.ac.uk</w:t>
      </w:r>
    </w:p>
    <w:p w14:paraId="3D28F8F2" w14:textId="77777777" w:rsidR="00E14FCF" w:rsidRPr="00D0437C" w:rsidRDefault="00E14FCF" w:rsidP="00E14FCF">
      <w:pPr>
        <w:rPr>
          <w:rFonts w:ascii="Garamond" w:eastAsia="Lato" w:hAnsi="Garamond" w:cs="Lato"/>
          <w:iCs/>
          <w:sz w:val="24"/>
          <w:szCs w:val="24"/>
          <w:lang w:val="nl-NL"/>
        </w:rPr>
      </w:pPr>
    </w:p>
    <w:p w14:paraId="12531F2C" w14:textId="0347F3EA" w:rsidR="0060771D" w:rsidRPr="00D0437C" w:rsidRDefault="0060771D" w:rsidP="00222ABF">
      <w:pPr>
        <w:spacing w:after="160" w:line="259" w:lineRule="auto"/>
        <w:jc w:val="center"/>
        <w:rPr>
          <w:rFonts w:ascii="Garamond" w:eastAsia="Times New Roman" w:hAnsi="Garamond" w:cs="Times New Roman"/>
          <w:b/>
          <w:sz w:val="24"/>
          <w:szCs w:val="24"/>
          <w:highlight w:val="lightGray"/>
          <w:lang w:val="nl-NL"/>
        </w:rPr>
      </w:pPr>
      <w:r w:rsidRPr="00D0437C">
        <w:rPr>
          <w:rFonts w:ascii="Garamond" w:eastAsia="Times New Roman" w:hAnsi="Garamond" w:cs="Times New Roman"/>
          <w:b/>
          <w:sz w:val="24"/>
          <w:szCs w:val="24"/>
          <w:highlight w:val="lightGray"/>
          <w:lang w:val="nl-NL"/>
        </w:rPr>
        <w:br w:type="page"/>
      </w:r>
    </w:p>
    <w:p w14:paraId="19DF86AC" w14:textId="77777777" w:rsidR="00035C79" w:rsidRPr="00B8179B" w:rsidRDefault="00035C79" w:rsidP="00B8179B">
      <w:pPr>
        <w:pStyle w:val="ListParagraph"/>
        <w:numPr>
          <w:ilvl w:val="0"/>
          <w:numId w:val="2"/>
        </w:numPr>
        <w:spacing w:before="120" w:after="120"/>
        <w:jc w:val="both"/>
        <w:rPr>
          <w:rFonts w:ascii="Garamond" w:eastAsia="Times New Roman" w:hAnsi="Garamond" w:cs="Times New Roman"/>
          <w:b/>
          <w:sz w:val="24"/>
          <w:szCs w:val="24"/>
        </w:rPr>
      </w:pPr>
      <w:r w:rsidRPr="00B8179B">
        <w:rPr>
          <w:rFonts w:ascii="Garamond" w:eastAsia="Times New Roman" w:hAnsi="Garamond" w:cs="Times New Roman"/>
          <w:b/>
          <w:sz w:val="24"/>
          <w:szCs w:val="24"/>
        </w:rPr>
        <w:lastRenderedPageBreak/>
        <w:t>Introduction – Problem statement</w:t>
      </w:r>
    </w:p>
    <w:p w14:paraId="1E9676A0" w14:textId="6C7F1B1F" w:rsidR="00F86A7C" w:rsidRPr="00C328B2" w:rsidRDefault="00035C79" w:rsidP="00C328B2">
      <w:pPr>
        <w:spacing w:before="120" w:after="120"/>
        <w:jc w:val="both"/>
        <w:rPr>
          <w:rFonts w:ascii="Garamond" w:eastAsia="Times New Roman" w:hAnsi="Garamond" w:cs="Times New Roman"/>
          <w:bCs/>
          <w:sz w:val="24"/>
          <w:szCs w:val="24"/>
        </w:rPr>
      </w:pPr>
      <w:r w:rsidRPr="00AB0061">
        <w:rPr>
          <w:rFonts w:ascii="Garamond" w:eastAsia="Times New Roman" w:hAnsi="Garamond" w:cs="Times New Roman"/>
          <w:bCs/>
          <w:sz w:val="24"/>
          <w:szCs w:val="24"/>
        </w:rPr>
        <w:t>The increasing interest of policy</w:t>
      </w:r>
      <w:r w:rsidR="00B8179B">
        <w:rPr>
          <w:rFonts w:ascii="Garamond" w:eastAsia="Times New Roman" w:hAnsi="Garamond" w:cs="Times New Roman"/>
          <w:bCs/>
          <w:sz w:val="24"/>
          <w:szCs w:val="24"/>
        </w:rPr>
        <w:t>-</w:t>
      </w:r>
      <w:r w:rsidRPr="00AB0061">
        <w:rPr>
          <w:rFonts w:ascii="Garamond" w:eastAsia="Times New Roman" w:hAnsi="Garamond" w:cs="Times New Roman"/>
          <w:bCs/>
          <w:sz w:val="24"/>
          <w:szCs w:val="24"/>
        </w:rPr>
        <w:t xml:space="preserve">makers in promoting sustainable development </w:t>
      </w:r>
      <w:r w:rsidR="00B8179B">
        <w:rPr>
          <w:rFonts w:ascii="Garamond" w:eastAsia="Times New Roman" w:hAnsi="Garamond" w:cs="Times New Roman"/>
          <w:bCs/>
          <w:sz w:val="24"/>
          <w:szCs w:val="24"/>
        </w:rPr>
        <w:t>in</w:t>
      </w:r>
      <w:r w:rsidRPr="00AB0061">
        <w:rPr>
          <w:rFonts w:ascii="Garamond" w:eastAsia="Times New Roman" w:hAnsi="Garamond" w:cs="Times New Roman"/>
          <w:bCs/>
          <w:sz w:val="24"/>
          <w:szCs w:val="24"/>
        </w:rPr>
        <w:t xml:space="preserve"> production and consumption systems </w:t>
      </w:r>
      <w:r>
        <w:rPr>
          <w:rFonts w:ascii="Garamond" w:eastAsia="Times New Roman" w:hAnsi="Garamond" w:cs="Times New Roman"/>
          <w:bCs/>
          <w:sz w:val="24"/>
          <w:szCs w:val="24"/>
        </w:rPr>
        <w:t>has already shaped some directives at the European level, among which</w:t>
      </w:r>
      <w:r w:rsidR="00B8179B">
        <w:rPr>
          <w:rFonts w:ascii="Garamond" w:eastAsia="Times New Roman" w:hAnsi="Garamond" w:cs="Times New Roman"/>
          <w:bCs/>
          <w:sz w:val="24"/>
          <w:szCs w:val="24"/>
        </w:rPr>
        <w:t xml:space="preserve"> the Circular Economy Package (</w:t>
      </w:r>
      <w:r>
        <w:rPr>
          <w:rFonts w:ascii="Garamond" w:eastAsia="Times New Roman" w:hAnsi="Garamond" w:cs="Times New Roman"/>
          <w:bCs/>
          <w:sz w:val="24"/>
          <w:szCs w:val="24"/>
        </w:rPr>
        <w:t xml:space="preserve">European Commission, 2015) and the Circular Economy Action Plan (European </w:t>
      </w:r>
      <w:r w:rsidR="00B8179B">
        <w:rPr>
          <w:rFonts w:ascii="Garamond" w:eastAsia="Times New Roman" w:hAnsi="Garamond" w:cs="Times New Roman"/>
          <w:bCs/>
          <w:sz w:val="24"/>
          <w:szCs w:val="24"/>
        </w:rPr>
        <w:t>C</w:t>
      </w:r>
      <w:r>
        <w:rPr>
          <w:rFonts w:ascii="Garamond" w:eastAsia="Times New Roman" w:hAnsi="Garamond" w:cs="Times New Roman"/>
          <w:bCs/>
          <w:sz w:val="24"/>
          <w:szCs w:val="24"/>
        </w:rPr>
        <w:t>ommission, 2018). Closing the loop of products and material flows is</w:t>
      </w:r>
      <w:r w:rsidR="00B8179B">
        <w:rPr>
          <w:rFonts w:ascii="Garamond" w:eastAsia="Times New Roman" w:hAnsi="Garamond" w:cs="Times New Roman"/>
          <w:bCs/>
          <w:sz w:val="24"/>
          <w:szCs w:val="24"/>
        </w:rPr>
        <w:t xml:space="preserve"> considered a key strategy in</w:t>
      </w:r>
      <w:r>
        <w:rPr>
          <w:rFonts w:ascii="Garamond" w:eastAsia="Times New Roman" w:hAnsi="Garamond" w:cs="Times New Roman"/>
          <w:bCs/>
          <w:sz w:val="24"/>
          <w:szCs w:val="24"/>
        </w:rPr>
        <w:t xml:space="preserve"> many industries</w:t>
      </w:r>
      <w:r w:rsidR="00B8179B">
        <w:rPr>
          <w:rFonts w:ascii="Garamond" w:eastAsia="Times New Roman" w:hAnsi="Garamond" w:cs="Times New Roman"/>
          <w:bCs/>
          <w:sz w:val="24"/>
          <w:szCs w:val="24"/>
        </w:rPr>
        <w:t>, with the aim of</w:t>
      </w:r>
      <w:r>
        <w:rPr>
          <w:rFonts w:ascii="Garamond" w:eastAsia="Times New Roman" w:hAnsi="Garamond" w:cs="Times New Roman"/>
          <w:bCs/>
          <w:sz w:val="24"/>
          <w:szCs w:val="24"/>
        </w:rPr>
        <w:t xml:space="preserve"> decoupling gr</w:t>
      </w:r>
      <w:r w:rsidR="00C328B2">
        <w:rPr>
          <w:rFonts w:ascii="Garamond" w:eastAsia="Times New Roman" w:hAnsi="Garamond" w:cs="Times New Roman"/>
          <w:bCs/>
          <w:sz w:val="24"/>
          <w:szCs w:val="24"/>
        </w:rPr>
        <w:t xml:space="preserve">owth from resource consumption. </w:t>
      </w:r>
      <w:r w:rsidRPr="00E214F6">
        <w:rPr>
          <w:rFonts w:ascii="Garamond" w:hAnsi="Garamond"/>
          <w:sz w:val="24"/>
          <w:szCs w:val="24"/>
        </w:rPr>
        <w:t xml:space="preserve">It is </w:t>
      </w:r>
      <w:r>
        <w:rPr>
          <w:rFonts w:ascii="Garamond" w:hAnsi="Garamond"/>
          <w:sz w:val="24"/>
          <w:szCs w:val="24"/>
        </w:rPr>
        <w:t xml:space="preserve">also </w:t>
      </w:r>
      <w:r w:rsidRPr="00E214F6">
        <w:rPr>
          <w:rFonts w:ascii="Garamond" w:hAnsi="Garamond"/>
          <w:sz w:val="24"/>
          <w:szCs w:val="24"/>
        </w:rPr>
        <w:t>commonly recogni</w:t>
      </w:r>
      <w:r w:rsidR="00B8179B">
        <w:rPr>
          <w:rFonts w:ascii="Garamond" w:hAnsi="Garamond"/>
          <w:sz w:val="24"/>
          <w:szCs w:val="24"/>
        </w:rPr>
        <w:t>s</w:t>
      </w:r>
      <w:r w:rsidRPr="00E214F6">
        <w:rPr>
          <w:rFonts w:ascii="Garamond" w:hAnsi="Garamond"/>
          <w:sz w:val="24"/>
          <w:szCs w:val="24"/>
        </w:rPr>
        <w:t xml:space="preserve">ed that the </w:t>
      </w:r>
      <w:r w:rsidR="00B8179B">
        <w:rPr>
          <w:rFonts w:ascii="Garamond" w:hAnsi="Garamond"/>
          <w:sz w:val="24"/>
          <w:szCs w:val="24"/>
        </w:rPr>
        <w:t xml:space="preserve">development of the </w:t>
      </w:r>
      <w:r w:rsidRPr="00E214F6">
        <w:rPr>
          <w:rFonts w:ascii="Garamond" w:hAnsi="Garamond"/>
          <w:sz w:val="24"/>
          <w:szCs w:val="24"/>
        </w:rPr>
        <w:t>C</w:t>
      </w:r>
      <w:r>
        <w:rPr>
          <w:rFonts w:ascii="Garamond" w:hAnsi="Garamond"/>
          <w:sz w:val="24"/>
          <w:szCs w:val="24"/>
        </w:rPr>
        <w:t xml:space="preserve">ircular </w:t>
      </w:r>
      <w:r w:rsidRPr="00E214F6">
        <w:rPr>
          <w:rFonts w:ascii="Garamond" w:hAnsi="Garamond"/>
          <w:sz w:val="24"/>
          <w:szCs w:val="24"/>
        </w:rPr>
        <w:t>E</w:t>
      </w:r>
      <w:r>
        <w:rPr>
          <w:rFonts w:ascii="Garamond" w:hAnsi="Garamond"/>
          <w:sz w:val="24"/>
          <w:szCs w:val="24"/>
        </w:rPr>
        <w:t>conomy</w:t>
      </w:r>
      <w:r w:rsidR="00B8179B">
        <w:rPr>
          <w:rFonts w:ascii="Garamond" w:hAnsi="Garamond"/>
          <w:sz w:val="24"/>
          <w:szCs w:val="24"/>
        </w:rPr>
        <w:t xml:space="preserve"> concept and its practical applications</w:t>
      </w:r>
      <w:r w:rsidRPr="00E214F6">
        <w:rPr>
          <w:rFonts w:ascii="Garamond" w:hAnsi="Garamond"/>
          <w:sz w:val="24"/>
          <w:szCs w:val="24"/>
        </w:rPr>
        <w:t xml:space="preserve">, at least in the European Union countries, has been </w:t>
      </w:r>
      <w:r>
        <w:rPr>
          <w:rFonts w:ascii="Garamond" w:hAnsi="Garamond"/>
          <w:sz w:val="24"/>
          <w:szCs w:val="24"/>
        </w:rPr>
        <w:t xml:space="preserve">at </w:t>
      </w:r>
      <w:r w:rsidRPr="00E214F6">
        <w:rPr>
          <w:rFonts w:ascii="Garamond" w:hAnsi="Garamond"/>
          <w:sz w:val="24"/>
          <w:szCs w:val="24"/>
        </w:rPr>
        <w:t xml:space="preserve">the moment </w:t>
      </w:r>
      <w:r w:rsidR="0060771D">
        <w:rPr>
          <w:rFonts w:ascii="Garamond" w:hAnsi="Garamond"/>
          <w:sz w:val="24"/>
          <w:szCs w:val="24"/>
        </w:rPr>
        <w:t>mainl</w:t>
      </w:r>
      <w:r w:rsidR="00B8179B">
        <w:rPr>
          <w:rFonts w:ascii="Garamond" w:hAnsi="Garamond"/>
          <w:sz w:val="24"/>
          <w:szCs w:val="24"/>
        </w:rPr>
        <w:t xml:space="preserve">y led </w:t>
      </w:r>
      <w:r w:rsidRPr="00E214F6">
        <w:rPr>
          <w:rFonts w:ascii="Garamond" w:hAnsi="Garamond"/>
          <w:sz w:val="24"/>
          <w:szCs w:val="24"/>
        </w:rPr>
        <w:t>by practitioners rathe</w:t>
      </w:r>
      <w:r>
        <w:rPr>
          <w:rFonts w:ascii="Garamond" w:hAnsi="Garamond"/>
          <w:sz w:val="24"/>
          <w:szCs w:val="24"/>
        </w:rPr>
        <w:t xml:space="preserve">r than by </w:t>
      </w:r>
      <w:r w:rsidR="00F86A7C">
        <w:rPr>
          <w:rFonts w:ascii="Garamond" w:hAnsi="Garamond"/>
          <w:sz w:val="24"/>
          <w:szCs w:val="24"/>
        </w:rPr>
        <w:t xml:space="preserve">the </w:t>
      </w:r>
      <w:r>
        <w:rPr>
          <w:rFonts w:ascii="Garamond" w:hAnsi="Garamond"/>
          <w:sz w:val="24"/>
          <w:szCs w:val="24"/>
        </w:rPr>
        <w:t xml:space="preserve">scientific </w:t>
      </w:r>
      <w:r w:rsidR="00F86A7C">
        <w:rPr>
          <w:rFonts w:ascii="Garamond" w:hAnsi="Garamond"/>
          <w:sz w:val="24"/>
          <w:szCs w:val="24"/>
        </w:rPr>
        <w:t>community, which has failed to promote a holistic approach to the topic</w:t>
      </w:r>
      <w:r>
        <w:rPr>
          <w:rFonts w:ascii="Garamond" w:hAnsi="Garamond"/>
          <w:sz w:val="24"/>
          <w:szCs w:val="24"/>
        </w:rPr>
        <w:t xml:space="preserve"> (</w:t>
      </w:r>
      <w:r w:rsidRPr="00E214F6">
        <w:rPr>
          <w:rFonts w:ascii="Garamond" w:hAnsi="Garamond"/>
          <w:color w:val="222222"/>
          <w:sz w:val="24"/>
          <w:szCs w:val="24"/>
          <w:highlight w:val="white"/>
        </w:rPr>
        <w:t>Korhonen</w:t>
      </w:r>
      <w:r>
        <w:rPr>
          <w:rFonts w:ascii="Garamond" w:hAnsi="Garamond"/>
          <w:color w:val="222222"/>
          <w:sz w:val="24"/>
          <w:szCs w:val="24"/>
          <w:highlight w:val="white"/>
        </w:rPr>
        <w:t xml:space="preserve"> et al.</w:t>
      </w:r>
      <w:r w:rsidRPr="00E214F6">
        <w:rPr>
          <w:rFonts w:ascii="Garamond" w:hAnsi="Garamond"/>
          <w:color w:val="222222"/>
          <w:sz w:val="24"/>
          <w:szCs w:val="24"/>
          <w:highlight w:val="white"/>
        </w:rPr>
        <w:t>, 2018</w:t>
      </w:r>
      <w:r w:rsidRPr="00E214F6">
        <w:rPr>
          <w:rFonts w:ascii="Garamond" w:hAnsi="Garamond"/>
          <w:sz w:val="24"/>
          <w:szCs w:val="24"/>
        </w:rPr>
        <w:t xml:space="preserve">). </w:t>
      </w:r>
    </w:p>
    <w:p w14:paraId="7DF780E4" w14:textId="1E6897C2" w:rsidR="00035C79" w:rsidRPr="00302A55" w:rsidRDefault="00F86A7C" w:rsidP="00035C79">
      <w:pPr>
        <w:jc w:val="both"/>
        <w:rPr>
          <w:rFonts w:ascii="Garamond" w:hAnsi="Garamond"/>
          <w:sz w:val="24"/>
          <w:szCs w:val="24"/>
        </w:rPr>
      </w:pPr>
      <w:r>
        <w:rPr>
          <w:rFonts w:ascii="Garamond" w:eastAsia="Times New Roman" w:hAnsi="Garamond" w:cs="Times New Roman"/>
          <w:bCs/>
          <w:sz w:val="24"/>
          <w:szCs w:val="24"/>
        </w:rPr>
        <w:t xml:space="preserve">The mentioned European directives, coherently to a free-market scenario, openly recognise a very important role for existing organisations which, through bottom-up initiatives, shall drive the realisation of a systemic transition towards the Circular Economy in supply chains. </w:t>
      </w:r>
      <w:r w:rsidR="00035C79" w:rsidRPr="00E214F6">
        <w:rPr>
          <w:rFonts w:ascii="Garamond" w:hAnsi="Garamond"/>
          <w:sz w:val="24"/>
          <w:szCs w:val="24"/>
        </w:rPr>
        <w:t xml:space="preserve">In </w:t>
      </w:r>
      <w:r w:rsidR="00035C79">
        <w:rPr>
          <w:rFonts w:ascii="Garamond" w:hAnsi="Garamond"/>
          <w:sz w:val="24"/>
          <w:szCs w:val="24"/>
        </w:rPr>
        <w:t>the European</w:t>
      </w:r>
      <w:r w:rsidR="00035C79" w:rsidRPr="00E214F6">
        <w:rPr>
          <w:rFonts w:ascii="Garamond" w:hAnsi="Garamond"/>
          <w:sz w:val="24"/>
          <w:szCs w:val="24"/>
        </w:rPr>
        <w:t xml:space="preserve"> context, </w:t>
      </w:r>
      <w:r w:rsidR="00747CB5">
        <w:rPr>
          <w:rFonts w:ascii="Garamond" w:hAnsi="Garamond"/>
          <w:sz w:val="24"/>
          <w:szCs w:val="24"/>
        </w:rPr>
        <w:t>s</w:t>
      </w:r>
      <w:r w:rsidR="00035C79" w:rsidRPr="00E214F6">
        <w:rPr>
          <w:rFonts w:ascii="Garamond" w:hAnsi="Garamond"/>
          <w:sz w:val="24"/>
          <w:szCs w:val="24"/>
        </w:rPr>
        <w:t>everal organi</w:t>
      </w:r>
      <w:r w:rsidR="00747CB5">
        <w:rPr>
          <w:rFonts w:ascii="Garamond" w:hAnsi="Garamond"/>
          <w:sz w:val="24"/>
          <w:szCs w:val="24"/>
        </w:rPr>
        <w:t>s</w:t>
      </w:r>
      <w:r w:rsidR="00035C79" w:rsidRPr="00E214F6">
        <w:rPr>
          <w:rFonts w:ascii="Garamond" w:hAnsi="Garamond"/>
          <w:sz w:val="24"/>
          <w:szCs w:val="24"/>
        </w:rPr>
        <w:t>ations</w:t>
      </w:r>
      <w:r w:rsidR="00747CB5">
        <w:rPr>
          <w:rFonts w:ascii="Garamond" w:hAnsi="Garamond"/>
          <w:sz w:val="24"/>
          <w:szCs w:val="24"/>
        </w:rPr>
        <w:t xml:space="preserve"> (</w:t>
      </w:r>
      <w:r w:rsidR="00035C79">
        <w:rPr>
          <w:rFonts w:ascii="Garamond" w:hAnsi="Garamond"/>
          <w:sz w:val="24"/>
          <w:szCs w:val="24"/>
        </w:rPr>
        <w:t>both SMEs and MNEs</w:t>
      </w:r>
      <w:r w:rsidR="00747CB5">
        <w:rPr>
          <w:rFonts w:ascii="Garamond" w:hAnsi="Garamond"/>
          <w:sz w:val="24"/>
          <w:szCs w:val="24"/>
        </w:rPr>
        <w:t xml:space="preserve">) </w:t>
      </w:r>
      <w:r w:rsidR="00035C79" w:rsidRPr="00E214F6">
        <w:rPr>
          <w:rFonts w:ascii="Garamond" w:hAnsi="Garamond"/>
          <w:sz w:val="24"/>
          <w:szCs w:val="24"/>
        </w:rPr>
        <w:t>have changed</w:t>
      </w:r>
      <w:r w:rsidR="00C328B2">
        <w:rPr>
          <w:rFonts w:ascii="Garamond" w:hAnsi="Garamond"/>
          <w:sz w:val="24"/>
          <w:szCs w:val="24"/>
        </w:rPr>
        <w:t>,</w:t>
      </w:r>
      <w:r w:rsidR="00035C79">
        <w:rPr>
          <w:rFonts w:ascii="Garamond" w:hAnsi="Garamond"/>
          <w:sz w:val="24"/>
          <w:szCs w:val="24"/>
        </w:rPr>
        <w:t xml:space="preserve"> over the last years</w:t>
      </w:r>
      <w:r w:rsidR="00C328B2">
        <w:rPr>
          <w:rFonts w:ascii="Garamond" w:hAnsi="Garamond"/>
          <w:sz w:val="24"/>
          <w:szCs w:val="24"/>
        </w:rPr>
        <w:t>,</w:t>
      </w:r>
      <w:r w:rsidR="00035C79" w:rsidRPr="00E214F6">
        <w:rPr>
          <w:rFonts w:ascii="Garamond" w:hAnsi="Garamond"/>
          <w:sz w:val="24"/>
          <w:szCs w:val="24"/>
        </w:rPr>
        <w:t xml:space="preserve"> the way they operate, </w:t>
      </w:r>
      <w:r w:rsidR="00C328B2">
        <w:rPr>
          <w:rFonts w:ascii="Garamond" w:hAnsi="Garamond"/>
          <w:sz w:val="24"/>
          <w:szCs w:val="24"/>
        </w:rPr>
        <w:t>by</w:t>
      </w:r>
      <w:r w:rsidR="00035C79">
        <w:rPr>
          <w:rFonts w:ascii="Garamond" w:hAnsi="Garamond"/>
          <w:sz w:val="24"/>
          <w:szCs w:val="24"/>
        </w:rPr>
        <w:t xml:space="preserve"> adopting</w:t>
      </w:r>
      <w:r w:rsidR="00035C79" w:rsidRPr="00E214F6">
        <w:rPr>
          <w:rFonts w:ascii="Garamond" w:hAnsi="Garamond"/>
          <w:sz w:val="24"/>
          <w:szCs w:val="24"/>
        </w:rPr>
        <w:t xml:space="preserve"> Circular Economy practices</w:t>
      </w:r>
      <w:r w:rsidR="00035C79">
        <w:rPr>
          <w:rFonts w:ascii="Garamond" w:hAnsi="Garamond"/>
          <w:sz w:val="24"/>
          <w:szCs w:val="24"/>
        </w:rPr>
        <w:t xml:space="preserve">. </w:t>
      </w:r>
      <w:r w:rsidR="00C328B2">
        <w:rPr>
          <w:rFonts w:ascii="Garamond" w:hAnsi="Garamond"/>
          <w:sz w:val="24"/>
          <w:szCs w:val="24"/>
        </w:rPr>
        <w:t>Such</w:t>
      </w:r>
      <w:r w:rsidR="00035C79">
        <w:rPr>
          <w:rFonts w:ascii="Garamond" w:hAnsi="Garamond"/>
          <w:sz w:val="24"/>
          <w:szCs w:val="24"/>
        </w:rPr>
        <w:t xml:space="preserve"> interventions have</w:t>
      </w:r>
      <w:r w:rsidR="00B8179B">
        <w:rPr>
          <w:rFonts w:ascii="Garamond" w:hAnsi="Garamond"/>
          <w:sz w:val="24"/>
          <w:szCs w:val="24"/>
        </w:rPr>
        <w:t xml:space="preserve"> </w:t>
      </w:r>
      <w:r w:rsidR="00035C79" w:rsidRPr="00E214F6">
        <w:rPr>
          <w:rFonts w:ascii="Garamond" w:hAnsi="Garamond"/>
          <w:sz w:val="24"/>
          <w:szCs w:val="24"/>
        </w:rPr>
        <w:t>emphasis</w:t>
      </w:r>
      <w:r w:rsidR="00035C79">
        <w:rPr>
          <w:rFonts w:ascii="Garamond" w:hAnsi="Garamond"/>
          <w:sz w:val="24"/>
          <w:szCs w:val="24"/>
        </w:rPr>
        <w:t>ed</w:t>
      </w:r>
      <w:r w:rsidR="00B8179B">
        <w:rPr>
          <w:rFonts w:ascii="Garamond" w:hAnsi="Garamond"/>
          <w:sz w:val="24"/>
          <w:szCs w:val="24"/>
        </w:rPr>
        <w:t xml:space="preserve"> product and material reuse and recycle a</w:t>
      </w:r>
      <w:r w:rsidR="00035C79" w:rsidRPr="00E214F6">
        <w:rPr>
          <w:rFonts w:ascii="Garamond" w:hAnsi="Garamond"/>
          <w:sz w:val="24"/>
          <w:szCs w:val="24"/>
        </w:rPr>
        <w:t>nd increas</w:t>
      </w:r>
      <w:r w:rsidR="00035C79">
        <w:rPr>
          <w:rFonts w:ascii="Garamond" w:hAnsi="Garamond"/>
          <w:sz w:val="24"/>
          <w:szCs w:val="24"/>
        </w:rPr>
        <w:t>ed</w:t>
      </w:r>
      <w:r w:rsidR="00035C79" w:rsidRPr="00E214F6">
        <w:rPr>
          <w:rFonts w:ascii="Garamond" w:hAnsi="Garamond"/>
          <w:sz w:val="24"/>
          <w:szCs w:val="24"/>
        </w:rPr>
        <w:t xml:space="preserve"> the level of re-generativity of their production and consumption systems</w:t>
      </w:r>
      <w:r w:rsidR="00035C79">
        <w:rPr>
          <w:rFonts w:ascii="Garamond" w:hAnsi="Garamond"/>
          <w:sz w:val="24"/>
          <w:szCs w:val="24"/>
        </w:rPr>
        <w:t>,</w:t>
      </w:r>
      <w:r w:rsidR="00035C79" w:rsidRPr="00E214F6">
        <w:rPr>
          <w:rFonts w:ascii="Garamond" w:hAnsi="Garamond"/>
          <w:sz w:val="24"/>
          <w:szCs w:val="24"/>
        </w:rPr>
        <w:t xml:space="preserve"> also integrating the use of renewable </w:t>
      </w:r>
      <w:r w:rsidR="00035C79">
        <w:rPr>
          <w:rFonts w:ascii="Garamond" w:hAnsi="Garamond"/>
          <w:sz w:val="24"/>
          <w:szCs w:val="24"/>
        </w:rPr>
        <w:t xml:space="preserve">energy </w:t>
      </w:r>
      <w:r w:rsidR="00035C79" w:rsidRPr="00E214F6">
        <w:rPr>
          <w:rFonts w:ascii="Garamond" w:hAnsi="Garamond"/>
          <w:sz w:val="24"/>
          <w:szCs w:val="24"/>
        </w:rPr>
        <w:t xml:space="preserve">sources </w:t>
      </w:r>
      <w:r w:rsidR="00035C79">
        <w:rPr>
          <w:rFonts w:ascii="Garamond" w:hAnsi="Garamond"/>
          <w:sz w:val="24"/>
          <w:szCs w:val="24"/>
        </w:rPr>
        <w:t>t</w:t>
      </w:r>
      <w:r w:rsidR="00035C79" w:rsidRPr="00E214F6">
        <w:rPr>
          <w:rFonts w:ascii="Garamond" w:hAnsi="Garamond"/>
          <w:sz w:val="24"/>
          <w:szCs w:val="24"/>
        </w:rPr>
        <w:t>hroughout supply chain</w:t>
      </w:r>
      <w:r w:rsidR="00B8179B">
        <w:rPr>
          <w:rFonts w:ascii="Garamond" w:hAnsi="Garamond"/>
          <w:sz w:val="24"/>
          <w:szCs w:val="24"/>
        </w:rPr>
        <w:t>s</w:t>
      </w:r>
      <w:r w:rsidR="00D0437C">
        <w:rPr>
          <w:rFonts w:ascii="Garamond" w:hAnsi="Garamond"/>
          <w:sz w:val="24"/>
          <w:szCs w:val="24"/>
        </w:rPr>
        <w:t xml:space="preserve"> (Genovese et al., 2017)</w:t>
      </w:r>
      <w:r w:rsidR="00035C79" w:rsidRPr="00E214F6">
        <w:rPr>
          <w:rFonts w:ascii="Garamond" w:hAnsi="Garamond"/>
          <w:sz w:val="24"/>
          <w:szCs w:val="24"/>
        </w:rPr>
        <w:t xml:space="preserve">. </w:t>
      </w:r>
    </w:p>
    <w:p w14:paraId="1B189ED2" w14:textId="60CFAE66" w:rsidR="00035C79" w:rsidRDefault="00F86A7C" w:rsidP="00363FEE">
      <w:pPr>
        <w:spacing w:before="120" w:after="120"/>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However, the </w:t>
      </w:r>
      <w:r w:rsidR="00C328B2">
        <w:rPr>
          <w:rFonts w:ascii="Garamond" w:eastAsia="Times New Roman" w:hAnsi="Garamond" w:cs="Times New Roman"/>
          <w:bCs/>
          <w:sz w:val="24"/>
          <w:szCs w:val="24"/>
        </w:rPr>
        <w:t xml:space="preserve">actual </w:t>
      </w:r>
      <w:r>
        <w:rPr>
          <w:rFonts w:ascii="Garamond" w:eastAsia="Times New Roman" w:hAnsi="Garamond" w:cs="Times New Roman"/>
          <w:bCs/>
          <w:sz w:val="24"/>
          <w:szCs w:val="24"/>
        </w:rPr>
        <w:t>extent to which</w:t>
      </w:r>
      <w:r w:rsidR="00035C79">
        <w:rPr>
          <w:rFonts w:ascii="Garamond" w:eastAsia="Times New Roman" w:hAnsi="Garamond" w:cs="Times New Roman"/>
          <w:bCs/>
          <w:sz w:val="24"/>
          <w:szCs w:val="24"/>
        </w:rPr>
        <w:t xml:space="preserve"> Circular Economy principles</w:t>
      </w:r>
      <w:r w:rsidR="00363FEE">
        <w:rPr>
          <w:rFonts w:ascii="Garamond" w:eastAsia="Times New Roman" w:hAnsi="Garamond" w:cs="Times New Roman"/>
          <w:bCs/>
          <w:sz w:val="24"/>
          <w:szCs w:val="24"/>
        </w:rPr>
        <w:t xml:space="preserve"> are </w:t>
      </w:r>
      <w:r w:rsidR="00C328B2">
        <w:rPr>
          <w:rFonts w:ascii="Garamond" w:eastAsia="Times New Roman" w:hAnsi="Garamond" w:cs="Times New Roman"/>
          <w:bCs/>
          <w:sz w:val="24"/>
          <w:szCs w:val="24"/>
        </w:rPr>
        <w:t>operationalised</w:t>
      </w:r>
      <w:r w:rsidR="00035C79">
        <w:rPr>
          <w:rFonts w:ascii="Garamond" w:eastAsia="Times New Roman" w:hAnsi="Garamond" w:cs="Times New Roman"/>
          <w:bCs/>
          <w:sz w:val="24"/>
          <w:szCs w:val="24"/>
        </w:rPr>
        <w:t xml:space="preserve"> at this level has still t</w:t>
      </w:r>
      <w:r w:rsidR="00B31306">
        <w:rPr>
          <w:rFonts w:ascii="Garamond" w:eastAsia="Times New Roman" w:hAnsi="Garamond" w:cs="Times New Roman"/>
          <w:bCs/>
          <w:sz w:val="24"/>
          <w:szCs w:val="24"/>
        </w:rPr>
        <w:t xml:space="preserve">o be verified and the real impact </w:t>
      </w:r>
      <w:r w:rsidR="00035C79">
        <w:rPr>
          <w:rFonts w:ascii="Garamond" w:eastAsia="Times New Roman" w:hAnsi="Garamond" w:cs="Times New Roman"/>
          <w:bCs/>
          <w:sz w:val="24"/>
          <w:szCs w:val="24"/>
        </w:rPr>
        <w:t xml:space="preserve">of </w:t>
      </w:r>
      <w:r w:rsidR="00C328B2">
        <w:rPr>
          <w:rFonts w:ascii="Garamond" w:eastAsia="Times New Roman" w:hAnsi="Garamond" w:cs="Times New Roman"/>
          <w:bCs/>
          <w:sz w:val="24"/>
          <w:szCs w:val="24"/>
        </w:rPr>
        <w:t>legislation changes on</w:t>
      </w:r>
      <w:r w:rsidR="00B31306">
        <w:rPr>
          <w:rFonts w:ascii="Garamond" w:eastAsia="Times New Roman" w:hAnsi="Garamond" w:cs="Times New Roman"/>
          <w:bCs/>
          <w:sz w:val="24"/>
          <w:szCs w:val="24"/>
        </w:rPr>
        <w:t xml:space="preserve"> companies</w:t>
      </w:r>
      <w:r w:rsidR="00035C79" w:rsidRPr="00AB0061">
        <w:rPr>
          <w:rFonts w:ascii="Garamond" w:eastAsia="Times New Roman" w:hAnsi="Garamond" w:cs="Times New Roman"/>
          <w:bCs/>
          <w:sz w:val="24"/>
          <w:szCs w:val="24"/>
        </w:rPr>
        <w:t xml:space="preserve"> </w:t>
      </w:r>
      <w:r w:rsidR="00035C79">
        <w:rPr>
          <w:rFonts w:ascii="Garamond" w:eastAsia="Times New Roman" w:hAnsi="Garamond" w:cs="Times New Roman"/>
          <w:bCs/>
          <w:sz w:val="24"/>
          <w:szCs w:val="24"/>
        </w:rPr>
        <w:t>has yet to be investigated</w:t>
      </w:r>
      <w:r w:rsidR="00D0437C">
        <w:rPr>
          <w:rFonts w:ascii="Garamond" w:eastAsia="Times New Roman" w:hAnsi="Garamond" w:cs="Times New Roman"/>
          <w:bCs/>
          <w:sz w:val="24"/>
          <w:szCs w:val="24"/>
        </w:rPr>
        <w:t xml:space="preserve"> (Stewart</w:t>
      </w:r>
      <w:r w:rsidR="00D0437C" w:rsidRPr="003951CB">
        <w:rPr>
          <w:rFonts w:ascii="Garamond" w:eastAsia="Times New Roman" w:hAnsi="Garamond" w:cs="Times New Roman"/>
          <w:bCs/>
          <w:sz w:val="24"/>
          <w:szCs w:val="24"/>
        </w:rPr>
        <w:t xml:space="preserve"> &amp; Niero</w:t>
      </w:r>
      <w:r w:rsidR="00D0437C">
        <w:rPr>
          <w:rFonts w:ascii="Garamond" w:eastAsia="Times New Roman" w:hAnsi="Garamond" w:cs="Times New Roman"/>
          <w:bCs/>
          <w:sz w:val="24"/>
          <w:szCs w:val="24"/>
        </w:rPr>
        <w:t>, 2018)</w:t>
      </w:r>
      <w:r w:rsidR="00035C79">
        <w:rPr>
          <w:rFonts w:ascii="Garamond" w:eastAsia="Times New Roman" w:hAnsi="Garamond" w:cs="Times New Roman"/>
          <w:bCs/>
          <w:sz w:val="24"/>
          <w:szCs w:val="24"/>
        </w:rPr>
        <w:t>. This lack of a clear review of the state-of-the-practice outlines</w:t>
      </w:r>
      <w:r w:rsidR="00035C79" w:rsidRPr="00AB0061">
        <w:rPr>
          <w:rFonts w:ascii="Garamond" w:eastAsia="Times New Roman" w:hAnsi="Garamond" w:cs="Times New Roman"/>
          <w:bCs/>
          <w:sz w:val="24"/>
          <w:szCs w:val="24"/>
        </w:rPr>
        <w:t xml:space="preserve"> the necessity to survey real</w:t>
      </w:r>
      <w:r w:rsidR="00035C79">
        <w:rPr>
          <w:rFonts w:ascii="Garamond" w:eastAsia="Times New Roman" w:hAnsi="Garamond" w:cs="Times New Roman"/>
          <w:bCs/>
          <w:sz w:val="24"/>
          <w:szCs w:val="24"/>
        </w:rPr>
        <w:t>-world applica</w:t>
      </w:r>
      <w:r w:rsidR="00350C16">
        <w:rPr>
          <w:rFonts w:ascii="Garamond" w:eastAsia="Times New Roman" w:hAnsi="Garamond" w:cs="Times New Roman"/>
          <w:bCs/>
          <w:sz w:val="24"/>
          <w:szCs w:val="24"/>
        </w:rPr>
        <w:t xml:space="preserve">tions in existing organisations </w:t>
      </w:r>
      <w:r w:rsidR="00C328B2">
        <w:rPr>
          <w:rFonts w:ascii="Garamond" w:eastAsia="Times New Roman" w:hAnsi="Garamond" w:cs="Times New Roman"/>
          <w:bCs/>
          <w:sz w:val="24"/>
          <w:szCs w:val="24"/>
        </w:rPr>
        <w:t xml:space="preserve">in order </w:t>
      </w:r>
      <w:r w:rsidR="00035C79">
        <w:rPr>
          <w:rFonts w:ascii="Garamond" w:eastAsia="Times New Roman" w:hAnsi="Garamond" w:cs="Times New Roman"/>
          <w:bCs/>
          <w:sz w:val="24"/>
          <w:szCs w:val="24"/>
        </w:rPr>
        <w:t>to improve the level of circularity of supply chains.</w:t>
      </w:r>
    </w:p>
    <w:p w14:paraId="1A9198A9" w14:textId="5C5CD3E8" w:rsidR="00035C79" w:rsidRDefault="00035C79" w:rsidP="00D0437C">
      <w:pPr>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This study aims at </w:t>
      </w:r>
      <w:r w:rsidRPr="00AB0061">
        <w:rPr>
          <w:rFonts w:ascii="Garamond" w:eastAsia="Times New Roman" w:hAnsi="Garamond" w:cs="Times New Roman"/>
          <w:bCs/>
          <w:sz w:val="24"/>
          <w:szCs w:val="24"/>
        </w:rPr>
        <w:t>assess</w:t>
      </w:r>
      <w:r>
        <w:rPr>
          <w:rFonts w:ascii="Garamond" w:eastAsia="Times New Roman" w:hAnsi="Garamond" w:cs="Times New Roman"/>
          <w:bCs/>
          <w:sz w:val="24"/>
          <w:szCs w:val="24"/>
        </w:rPr>
        <w:t xml:space="preserve">ing the </w:t>
      </w:r>
      <w:r w:rsidR="00C328B2">
        <w:rPr>
          <w:rFonts w:ascii="Garamond" w:eastAsia="Times New Roman" w:hAnsi="Garamond" w:cs="Times New Roman"/>
          <w:bCs/>
          <w:sz w:val="24"/>
          <w:szCs w:val="24"/>
        </w:rPr>
        <w:t xml:space="preserve">Circular Economy </w:t>
      </w:r>
      <w:r w:rsidR="00D0437C" w:rsidRPr="00D0437C">
        <w:rPr>
          <w:rFonts w:ascii="Garamond" w:eastAsia="Times New Roman" w:hAnsi="Garamond" w:cs="Times New Roman"/>
          <w:bCs/>
          <w:sz w:val="24"/>
          <w:szCs w:val="24"/>
        </w:rPr>
        <w:t>state-of-the-practice</w:t>
      </w:r>
      <w:r w:rsidR="00D0437C">
        <w:rPr>
          <w:rFonts w:ascii="Garamond" w:eastAsia="Times New Roman" w:hAnsi="Garamond" w:cs="Times New Roman"/>
          <w:bCs/>
          <w:sz w:val="24"/>
          <w:szCs w:val="24"/>
        </w:rPr>
        <w:t xml:space="preserve"> </w:t>
      </w:r>
      <w:r>
        <w:rPr>
          <w:rFonts w:ascii="Garamond" w:eastAsia="Times New Roman" w:hAnsi="Garamond" w:cs="Times New Roman"/>
          <w:bCs/>
          <w:sz w:val="24"/>
          <w:szCs w:val="24"/>
        </w:rPr>
        <w:t>in a structured way, c</w:t>
      </w:r>
      <w:r w:rsidRPr="00AB0061">
        <w:rPr>
          <w:rFonts w:ascii="Garamond" w:eastAsia="Times New Roman" w:hAnsi="Garamond" w:cs="Times New Roman"/>
          <w:bCs/>
          <w:sz w:val="24"/>
          <w:szCs w:val="24"/>
        </w:rPr>
        <w:t xml:space="preserve">lassifying all the </w:t>
      </w:r>
      <w:r>
        <w:rPr>
          <w:rFonts w:ascii="Garamond" w:eastAsia="Times New Roman" w:hAnsi="Garamond" w:cs="Times New Roman"/>
          <w:bCs/>
          <w:sz w:val="24"/>
          <w:szCs w:val="24"/>
        </w:rPr>
        <w:t>initiatives that can be recognised in the largest E</w:t>
      </w:r>
      <w:r w:rsidR="00363FEE">
        <w:rPr>
          <w:rFonts w:ascii="Garamond" w:eastAsia="Times New Roman" w:hAnsi="Garamond" w:cs="Times New Roman"/>
          <w:bCs/>
          <w:sz w:val="24"/>
          <w:szCs w:val="24"/>
        </w:rPr>
        <w:t>uropean companies</w:t>
      </w:r>
      <w:r>
        <w:rPr>
          <w:rFonts w:ascii="Garamond" w:eastAsia="Times New Roman" w:hAnsi="Garamond" w:cs="Times New Roman"/>
          <w:bCs/>
          <w:sz w:val="24"/>
          <w:szCs w:val="24"/>
        </w:rPr>
        <w:t xml:space="preserve">. </w:t>
      </w:r>
      <w:r w:rsidRPr="00E214F6">
        <w:rPr>
          <w:rFonts w:ascii="Garamond" w:hAnsi="Garamond"/>
          <w:sz w:val="24"/>
          <w:szCs w:val="24"/>
        </w:rPr>
        <w:t>Some attempts have already taken place in this direction, trying to gather and classify existing Circular Economy applications, strategies and challenges regarding many sectors and geographical context</w:t>
      </w:r>
      <w:r w:rsidR="00350C16">
        <w:rPr>
          <w:rFonts w:ascii="Garamond" w:hAnsi="Garamond"/>
          <w:sz w:val="24"/>
          <w:szCs w:val="24"/>
        </w:rPr>
        <w:t>s</w:t>
      </w:r>
      <w:r w:rsidR="00C328B2">
        <w:rPr>
          <w:rFonts w:ascii="Garamond" w:hAnsi="Garamond"/>
          <w:sz w:val="24"/>
          <w:szCs w:val="24"/>
        </w:rPr>
        <w:t>. Among these initiatives,</w:t>
      </w:r>
      <w:r w:rsidRPr="00E214F6">
        <w:rPr>
          <w:rFonts w:ascii="Garamond" w:hAnsi="Garamond"/>
          <w:sz w:val="24"/>
          <w:szCs w:val="24"/>
        </w:rPr>
        <w:t xml:space="preserve"> </w:t>
      </w:r>
      <w:r w:rsidR="00C328B2">
        <w:rPr>
          <w:rFonts w:ascii="Garamond" w:hAnsi="Garamond"/>
          <w:sz w:val="24"/>
          <w:szCs w:val="24"/>
        </w:rPr>
        <w:t xml:space="preserve">two notable examples are provided by </w:t>
      </w:r>
      <w:r w:rsidR="00350C16">
        <w:rPr>
          <w:rFonts w:ascii="Garamond" w:hAnsi="Garamond"/>
          <w:sz w:val="24"/>
          <w:szCs w:val="24"/>
        </w:rPr>
        <w:t xml:space="preserve">the </w:t>
      </w:r>
      <w:r w:rsidRPr="00E214F6">
        <w:rPr>
          <w:rFonts w:ascii="Garamond" w:hAnsi="Garamond"/>
          <w:sz w:val="24"/>
          <w:szCs w:val="24"/>
        </w:rPr>
        <w:t xml:space="preserve">Circular </w:t>
      </w:r>
      <w:r w:rsidR="00350C16">
        <w:rPr>
          <w:rFonts w:ascii="Garamond" w:hAnsi="Garamond"/>
          <w:sz w:val="24"/>
          <w:szCs w:val="24"/>
        </w:rPr>
        <w:t>E</w:t>
      </w:r>
      <w:r w:rsidRPr="00E214F6">
        <w:rPr>
          <w:rFonts w:ascii="Garamond" w:hAnsi="Garamond"/>
          <w:sz w:val="24"/>
          <w:szCs w:val="24"/>
        </w:rPr>
        <w:t>conomy Industry Platform</w:t>
      </w:r>
      <w:r>
        <w:rPr>
          <w:rStyle w:val="FootnoteReference"/>
          <w:rFonts w:ascii="Garamond" w:hAnsi="Garamond"/>
          <w:sz w:val="24"/>
          <w:szCs w:val="24"/>
        </w:rPr>
        <w:footnoteReference w:id="1"/>
      </w:r>
      <w:r w:rsidRPr="00E214F6">
        <w:rPr>
          <w:rFonts w:ascii="Garamond" w:hAnsi="Garamond"/>
          <w:sz w:val="24"/>
          <w:szCs w:val="24"/>
        </w:rPr>
        <w:t xml:space="preserve"> and Circle Economy’s Circle Lab</w:t>
      </w:r>
      <w:r>
        <w:rPr>
          <w:rStyle w:val="FootnoteReference"/>
          <w:rFonts w:ascii="Garamond" w:hAnsi="Garamond"/>
          <w:sz w:val="24"/>
          <w:szCs w:val="24"/>
        </w:rPr>
        <w:footnoteReference w:id="2"/>
      </w:r>
      <w:r>
        <w:rPr>
          <w:rFonts w:ascii="Garamond" w:hAnsi="Garamond"/>
          <w:sz w:val="24"/>
          <w:szCs w:val="24"/>
        </w:rPr>
        <w:t xml:space="preserve">. However, these databases </w:t>
      </w:r>
      <w:r w:rsidR="00C328B2">
        <w:rPr>
          <w:rFonts w:ascii="Garamond" w:hAnsi="Garamond"/>
          <w:sz w:val="24"/>
          <w:szCs w:val="24"/>
        </w:rPr>
        <w:t>are more designed as</w:t>
      </w:r>
      <w:r>
        <w:rPr>
          <w:rFonts w:ascii="Garamond" w:hAnsi="Garamond"/>
          <w:sz w:val="24"/>
          <w:szCs w:val="24"/>
        </w:rPr>
        <w:t xml:space="preserve"> learning platforms with the objective of sharing existing experiences</w:t>
      </w:r>
      <w:r w:rsidR="00C328B2">
        <w:rPr>
          <w:rFonts w:ascii="Garamond" w:hAnsi="Garamond"/>
          <w:sz w:val="24"/>
          <w:szCs w:val="24"/>
        </w:rPr>
        <w:t xml:space="preserve"> and best practices</w:t>
      </w:r>
      <w:r>
        <w:rPr>
          <w:rFonts w:ascii="Garamond" w:hAnsi="Garamond"/>
          <w:sz w:val="24"/>
          <w:szCs w:val="24"/>
        </w:rPr>
        <w:t xml:space="preserve">, rather than being systematic studies of the real level of transition to the Circular Economy. </w:t>
      </w:r>
    </w:p>
    <w:p w14:paraId="5E9A51FA" w14:textId="546BFF96" w:rsidR="00035C79" w:rsidRDefault="00035C79" w:rsidP="00035C79">
      <w:pPr>
        <w:spacing w:before="120" w:after="120"/>
        <w:jc w:val="both"/>
        <w:rPr>
          <w:rFonts w:ascii="Garamond" w:eastAsia="Times New Roman" w:hAnsi="Garamond" w:cs="Times New Roman"/>
          <w:bCs/>
          <w:sz w:val="24"/>
          <w:szCs w:val="24"/>
        </w:rPr>
      </w:pPr>
      <w:r>
        <w:rPr>
          <w:rFonts w:ascii="Garamond" w:hAnsi="Garamond"/>
          <w:sz w:val="24"/>
          <w:szCs w:val="24"/>
        </w:rPr>
        <w:t>For this reason, th</w:t>
      </w:r>
      <w:r w:rsidR="00C328B2">
        <w:rPr>
          <w:rFonts w:ascii="Garamond" w:hAnsi="Garamond"/>
          <w:sz w:val="24"/>
          <w:szCs w:val="24"/>
        </w:rPr>
        <w:t>is</w:t>
      </w:r>
      <w:r>
        <w:rPr>
          <w:rFonts w:ascii="Garamond" w:hAnsi="Garamond"/>
          <w:sz w:val="24"/>
          <w:szCs w:val="24"/>
        </w:rPr>
        <w:t xml:space="preserve"> study will focus on</w:t>
      </w:r>
      <w:r>
        <w:rPr>
          <w:rFonts w:ascii="Garamond" w:eastAsia="Times New Roman" w:hAnsi="Garamond" w:cs="Times New Roman"/>
          <w:bCs/>
          <w:sz w:val="24"/>
          <w:szCs w:val="24"/>
        </w:rPr>
        <w:t xml:space="preserve"> a globally recognised set of companies, the Global </w:t>
      </w:r>
      <w:r w:rsidRPr="00985CB3">
        <w:rPr>
          <w:rFonts w:ascii="Garamond" w:eastAsia="Times New Roman" w:hAnsi="Garamond" w:cs="Times New Roman"/>
          <w:bCs/>
          <w:sz w:val="24"/>
          <w:szCs w:val="24"/>
        </w:rPr>
        <w:t>Fortune 500 list</w:t>
      </w:r>
      <w:r>
        <w:rPr>
          <w:rStyle w:val="FootnoteReference"/>
          <w:rFonts w:ascii="Garamond" w:eastAsia="Times New Roman" w:hAnsi="Garamond" w:cs="Times New Roman"/>
          <w:bCs/>
          <w:sz w:val="24"/>
          <w:szCs w:val="24"/>
        </w:rPr>
        <w:footnoteReference w:id="3"/>
      </w:r>
      <w:r w:rsidR="00C328B2">
        <w:rPr>
          <w:rFonts w:ascii="Garamond" w:eastAsia="Times New Roman" w:hAnsi="Garamond" w:cs="Times New Roman"/>
          <w:bCs/>
          <w:sz w:val="24"/>
          <w:szCs w:val="24"/>
        </w:rPr>
        <w:t>,</w:t>
      </w:r>
      <w:r>
        <w:rPr>
          <w:rFonts w:ascii="Garamond" w:eastAsia="Times New Roman" w:hAnsi="Garamond" w:cs="Times New Roman"/>
          <w:bCs/>
          <w:sz w:val="24"/>
          <w:szCs w:val="24"/>
        </w:rPr>
        <w:t xml:space="preserve"> and more specifically on secondary</w:t>
      </w:r>
      <w:r w:rsidR="00B31306">
        <w:rPr>
          <w:rFonts w:ascii="Garamond" w:eastAsia="Times New Roman" w:hAnsi="Garamond" w:cs="Times New Roman"/>
          <w:bCs/>
          <w:sz w:val="24"/>
          <w:szCs w:val="24"/>
        </w:rPr>
        <w:t xml:space="preserve"> data that can be found in the </w:t>
      </w:r>
      <w:r w:rsidR="005A1A29">
        <w:rPr>
          <w:rFonts w:ascii="Garamond" w:eastAsia="Times New Roman" w:hAnsi="Garamond" w:cs="Times New Roman"/>
          <w:bCs/>
          <w:sz w:val="24"/>
          <w:szCs w:val="24"/>
        </w:rPr>
        <w:t>C</w:t>
      </w:r>
      <w:r w:rsidR="00B31306">
        <w:rPr>
          <w:rFonts w:ascii="Garamond" w:eastAsia="Times New Roman" w:hAnsi="Garamond" w:cs="Times New Roman"/>
          <w:bCs/>
          <w:sz w:val="24"/>
          <w:szCs w:val="24"/>
        </w:rPr>
        <w:t xml:space="preserve">orporate </w:t>
      </w:r>
      <w:r w:rsidR="005A1A29">
        <w:rPr>
          <w:rFonts w:ascii="Garamond" w:eastAsia="Times New Roman" w:hAnsi="Garamond" w:cs="Times New Roman"/>
          <w:bCs/>
          <w:sz w:val="24"/>
          <w:szCs w:val="24"/>
        </w:rPr>
        <w:t>S</w:t>
      </w:r>
      <w:r w:rsidR="00B31306">
        <w:rPr>
          <w:rFonts w:ascii="Garamond" w:eastAsia="Times New Roman" w:hAnsi="Garamond" w:cs="Times New Roman"/>
          <w:bCs/>
          <w:sz w:val="24"/>
          <w:szCs w:val="24"/>
        </w:rPr>
        <w:t>ustainability</w:t>
      </w:r>
      <w:r>
        <w:rPr>
          <w:rFonts w:ascii="Garamond" w:eastAsia="Times New Roman" w:hAnsi="Garamond" w:cs="Times New Roman"/>
          <w:bCs/>
          <w:sz w:val="24"/>
          <w:szCs w:val="24"/>
        </w:rPr>
        <w:t xml:space="preserve"> </w:t>
      </w:r>
      <w:r w:rsidR="00B31306">
        <w:rPr>
          <w:rFonts w:ascii="Garamond" w:eastAsia="Times New Roman" w:hAnsi="Garamond" w:cs="Times New Roman"/>
          <w:bCs/>
          <w:sz w:val="24"/>
          <w:szCs w:val="24"/>
        </w:rPr>
        <w:t>(</w:t>
      </w:r>
      <w:r>
        <w:rPr>
          <w:rFonts w:ascii="Garamond" w:eastAsia="Times New Roman" w:hAnsi="Garamond" w:cs="Times New Roman"/>
          <w:bCs/>
          <w:sz w:val="24"/>
          <w:szCs w:val="24"/>
        </w:rPr>
        <w:t>CS</w:t>
      </w:r>
      <w:r w:rsidR="00B31306">
        <w:rPr>
          <w:rFonts w:ascii="Garamond" w:eastAsia="Times New Roman" w:hAnsi="Garamond" w:cs="Times New Roman"/>
          <w:bCs/>
          <w:sz w:val="24"/>
          <w:szCs w:val="24"/>
        </w:rPr>
        <w:t>)</w:t>
      </w:r>
      <w:r>
        <w:rPr>
          <w:rFonts w:ascii="Garamond" w:eastAsia="Times New Roman" w:hAnsi="Garamond" w:cs="Times New Roman"/>
          <w:bCs/>
          <w:sz w:val="24"/>
          <w:szCs w:val="24"/>
        </w:rPr>
        <w:t xml:space="preserve"> reports</w:t>
      </w:r>
      <w:r w:rsidR="00363FEE">
        <w:rPr>
          <w:rFonts w:ascii="Garamond" w:eastAsia="Times New Roman" w:hAnsi="Garamond" w:cs="Times New Roman"/>
          <w:bCs/>
          <w:sz w:val="24"/>
          <w:szCs w:val="24"/>
        </w:rPr>
        <w:t xml:space="preserve"> that are released on a</w:t>
      </w:r>
      <w:r w:rsidR="00B31306">
        <w:rPr>
          <w:rFonts w:ascii="Garamond" w:eastAsia="Times New Roman" w:hAnsi="Garamond" w:cs="Times New Roman"/>
          <w:bCs/>
          <w:sz w:val="24"/>
          <w:szCs w:val="24"/>
        </w:rPr>
        <w:t xml:space="preserve"> yearly bas</w:t>
      </w:r>
      <w:r w:rsidR="00C328B2">
        <w:rPr>
          <w:rFonts w:ascii="Garamond" w:eastAsia="Times New Roman" w:hAnsi="Garamond" w:cs="Times New Roman"/>
          <w:bCs/>
          <w:sz w:val="24"/>
          <w:szCs w:val="24"/>
        </w:rPr>
        <w:t xml:space="preserve">is by </w:t>
      </w:r>
      <w:r w:rsidR="00B31306">
        <w:rPr>
          <w:rFonts w:ascii="Garamond" w:eastAsia="Times New Roman" w:hAnsi="Garamond" w:cs="Times New Roman"/>
          <w:bCs/>
          <w:sz w:val="24"/>
          <w:szCs w:val="24"/>
        </w:rPr>
        <w:t>major organisations</w:t>
      </w:r>
      <w:r>
        <w:rPr>
          <w:rFonts w:ascii="Garamond" w:eastAsia="Times New Roman" w:hAnsi="Garamond" w:cs="Times New Roman"/>
          <w:bCs/>
          <w:sz w:val="24"/>
          <w:szCs w:val="24"/>
        </w:rPr>
        <w:t xml:space="preserve">. By using a structured research method, the aim will be to outline how the 50 biggest European companies in terms of turnover are integrating Circular Economy principles and adopting Circular Economy practices. </w:t>
      </w:r>
    </w:p>
    <w:p w14:paraId="18DF0716" w14:textId="77777777" w:rsidR="00035C79" w:rsidRDefault="00035C79" w:rsidP="00035C79">
      <w:pPr>
        <w:jc w:val="both"/>
        <w:rPr>
          <w:rFonts w:ascii="Garamond" w:hAnsi="Garamond"/>
          <w:sz w:val="24"/>
          <w:szCs w:val="24"/>
        </w:rPr>
      </w:pPr>
      <w:r w:rsidRPr="00E214F6">
        <w:rPr>
          <w:rFonts w:ascii="Garamond" w:hAnsi="Garamond"/>
          <w:sz w:val="24"/>
          <w:szCs w:val="24"/>
        </w:rPr>
        <w:t xml:space="preserve">On the basis of the identified gaps, the research questions </w:t>
      </w:r>
      <w:r>
        <w:rPr>
          <w:rFonts w:ascii="Garamond" w:hAnsi="Garamond"/>
          <w:sz w:val="24"/>
          <w:szCs w:val="24"/>
        </w:rPr>
        <w:t>which will be addressed in this study can be summarised as follows</w:t>
      </w:r>
      <w:r w:rsidRPr="00E214F6">
        <w:rPr>
          <w:rFonts w:ascii="Garamond" w:hAnsi="Garamond"/>
          <w:sz w:val="24"/>
          <w:szCs w:val="24"/>
        </w:rPr>
        <w:t>:</w:t>
      </w:r>
    </w:p>
    <w:p w14:paraId="151E8773" w14:textId="77777777" w:rsidR="00FC35BB" w:rsidRPr="00FC35BB" w:rsidRDefault="0060771D" w:rsidP="001E38F5">
      <w:pPr>
        <w:pStyle w:val="ListParagraph"/>
        <w:numPr>
          <w:ilvl w:val="0"/>
          <w:numId w:val="5"/>
        </w:numPr>
        <w:spacing w:before="120" w:after="120"/>
        <w:jc w:val="both"/>
        <w:rPr>
          <w:rFonts w:ascii="Garamond" w:eastAsia="Times New Roman" w:hAnsi="Garamond" w:cs="Times New Roman"/>
          <w:bCs/>
          <w:sz w:val="24"/>
          <w:szCs w:val="24"/>
        </w:rPr>
      </w:pPr>
      <w:r w:rsidRPr="00FC35BB">
        <w:rPr>
          <w:rFonts w:ascii="Garamond" w:eastAsia="Times New Roman" w:hAnsi="Garamond" w:cs="Times New Roman"/>
          <w:bCs/>
          <w:sz w:val="24"/>
          <w:szCs w:val="24"/>
        </w:rPr>
        <w:t xml:space="preserve">RQ1: </w:t>
      </w:r>
      <w:r w:rsidR="001E38F5" w:rsidRPr="00FC35BB">
        <w:rPr>
          <w:rFonts w:ascii="Garamond" w:eastAsia="Times New Roman" w:hAnsi="Garamond" w:cs="Times New Roman"/>
          <w:bCs/>
          <w:i/>
          <w:sz w:val="24"/>
          <w:szCs w:val="24"/>
        </w:rPr>
        <w:t xml:space="preserve">To what extent do companies introduce CE </w:t>
      </w:r>
      <w:r w:rsidR="00B46322" w:rsidRPr="00FC35BB">
        <w:rPr>
          <w:rFonts w:ascii="Garamond" w:eastAsia="Times New Roman" w:hAnsi="Garamond" w:cs="Times New Roman"/>
          <w:bCs/>
          <w:i/>
          <w:sz w:val="24"/>
          <w:szCs w:val="24"/>
        </w:rPr>
        <w:t>principles in their CS</w:t>
      </w:r>
      <w:r w:rsidR="001E38F5" w:rsidRPr="00FC35BB">
        <w:rPr>
          <w:rFonts w:ascii="Garamond" w:eastAsia="Times New Roman" w:hAnsi="Garamond" w:cs="Times New Roman"/>
          <w:bCs/>
          <w:i/>
          <w:sz w:val="24"/>
          <w:szCs w:val="24"/>
        </w:rPr>
        <w:t xml:space="preserve"> reports</w:t>
      </w:r>
      <w:r w:rsidR="004B236B" w:rsidRPr="00FC35BB">
        <w:rPr>
          <w:rFonts w:ascii="Garamond" w:eastAsia="Times New Roman" w:hAnsi="Garamond" w:cs="Times New Roman"/>
          <w:bCs/>
          <w:i/>
          <w:sz w:val="24"/>
          <w:szCs w:val="24"/>
        </w:rPr>
        <w:t>?</w:t>
      </w:r>
    </w:p>
    <w:p w14:paraId="27B623C2" w14:textId="77777777" w:rsidR="00FC35BB" w:rsidRPr="00FC35BB" w:rsidRDefault="001E38F5" w:rsidP="004B236B">
      <w:pPr>
        <w:pStyle w:val="ListParagraph"/>
        <w:numPr>
          <w:ilvl w:val="0"/>
          <w:numId w:val="5"/>
        </w:numPr>
        <w:spacing w:before="120" w:after="120"/>
        <w:jc w:val="both"/>
        <w:rPr>
          <w:rFonts w:ascii="Garamond" w:eastAsia="Times New Roman" w:hAnsi="Garamond" w:cs="Times New Roman"/>
          <w:bCs/>
          <w:sz w:val="24"/>
          <w:szCs w:val="24"/>
        </w:rPr>
      </w:pPr>
      <w:r w:rsidRPr="00FC35BB">
        <w:rPr>
          <w:rFonts w:ascii="Garamond" w:eastAsia="Times New Roman" w:hAnsi="Garamond" w:cs="Times New Roman"/>
          <w:bCs/>
          <w:sz w:val="24"/>
          <w:szCs w:val="24"/>
        </w:rPr>
        <w:lastRenderedPageBreak/>
        <w:t>RQ2</w:t>
      </w:r>
      <w:r w:rsidR="0060771D" w:rsidRPr="00FC35BB">
        <w:rPr>
          <w:rFonts w:ascii="Garamond" w:eastAsia="Times New Roman" w:hAnsi="Garamond" w:cs="Times New Roman"/>
          <w:bCs/>
          <w:sz w:val="24"/>
          <w:szCs w:val="24"/>
        </w:rPr>
        <w:t xml:space="preserve">: </w:t>
      </w:r>
      <w:r w:rsidR="00F86A7C" w:rsidRPr="00FC35BB">
        <w:rPr>
          <w:rFonts w:ascii="Garamond" w:eastAsia="Times New Roman" w:hAnsi="Garamond" w:cs="Times New Roman"/>
          <w:bCs/>
          <w:i/>
          <w:iCs/>
          <w:sz w:val="24"/>
          <w:szCs w:val="24"/>
        </w:rPr>
        <w:t>W</w:t>
      </w:r>
      <w:r w:rsidRPr="00FC35BB">
        <w:rPr>
          <w:rFonts w:ascii="Garamond" w:eastAsia="Times New Roman" w:hAnsi="Garamond" w:cs="Times New Roman"/>
          <w:bCs/>
          <w:i/>
          <w:iCs/>
          <w:sz w:val="24"/>
          <w:szCs w:val="24"/>
        </w:rPr>
        <w:t>hat CE practices are implemented by companies?</w:t>
      </w:r>
      <w:r w:rsidR="00035C79" w:rsidRPr="00FC35BB">
        <w:rPr>
          <w:rFonts w:ascii="Garamond" w:eastAsia="Times New Roman" w:hAnsi="Garamond" w:cs="Times New Roman"/>
          <w:bCs/>
          <w:i/>
          <w:sz w:val="24"/>
          <w:szCs w:val="24"/>
        </w:rPr>
        <w:t xml:space="preserve"> </w:t>
      </w:r>
    </w:p>
    <w:p w14:paraId="11813917" w14:textId="77EF0595" w:rsidR="00E14FCF" w:rsidRPr="00FC35BB" w:rsidRDefault="00E14FCF" w:rsidP="004B236B">
      <w:pPr>
        <w:pStyle w:val="ListParagraph"/>
        <w:numPr>
          <w:ilvl w:val="0"/>
          <w:numId w:val="5"/>
        </w:numPr>
        <w:spacing w:before="120" w:after="120"/>
        <w:jc w:val="both"/>
        <w:rPr>
          <w:rFonts w:ascii="Garamond" w:eastAsia="Times New Roman" w:hAnsi="Garamond" w:cs="Times New Roman"/>
          <w:bCs/>
          <w:sz w:val="24"/>
          <w:szCs w:val="24"/>
        </w:rPr>
      </w:pPr>
      <w:r w:rsidRPr="00FC35BB">
        <w:rPr>
          <w:rFonts w:ascii="Garamond" w:eastAsia="Times New Roman" w:hAnsi="Garamond" w:cs="Times New Roman"/>
          <w:bCs/>
          <w:sz w:val="24"/>
          <w:szCs w:val="24"/>
        </w:rPr>
        <w:t xml:space="preserve">RQ3: </w:t>
      </w:r>
      <w:r w:rsidR="004B236B" w:rsidRPr="00FC35BB">
        <w:rPr>
          <w:rFonts w:ascii="Garamond" w:eastAsia="Times New Roman" w:hAnsi="Garamond" w:cs="Times New Roman"/>
          <w:bCs/>
          <w:i/>
          <w:iCs/>
          <w:sz w:val="24"/>
          <w:szCs w:val="24"/>
        </w:rPr>
        <w:t>Has the degree of implementation</w:t>
      </w:r>
      <w:r w:rsidR="005949AB" w:rsidRPr="00FC35BB">
        <w:rPr>
          <w:rFonts w:ascii="Garamond" w:eastAsia="Times New Roman" w:hAnsi="Garamond" w:cs="Times New Roman"/>
          <w:bCs/>
          <w:i/>
          <w:iCs/>
          <w:sz w:val="24"/>
          <w:szCs w:val="24"/>
        </w:rPr>
        <w:t xml:space="preserve"> of CE practices</w:t>
      </w:r>
      <w:r w:rsidR="004B236B" w:rsidRPr="00FC35BB">
        <w:rPr>
          <w:rFonts w:ascii="Garamond" w:eastAsia="Times New Roman" w:hAnsi="Garamond" w:cs="Times New Roman"/>
          <w:bCs/>
          <w:i/>
          <w:iCs/>
          <w:sz w:val="24"/>
          <w:szCs w:val="24"/>
        </w:rPr>
        <w:t xml:space="preserve"> increased in the last three years</w:t>
      </w:r>
      <w:r w:rsidR="00A574F9" w:rsidRPr="00FC35BB">
        <w:rPr>
          <w:rFonts w:ascii="Garamond" w:eastAsia="Times New Roman" w:hAnsi="Garamond" w:cs="Times New Roman"/>
          <w:bCs/>
          <w:i/>
          <w:iCs/>
          <w:sz w:val="24"/>
          <w:szCs w:val="24"/>
        </w:rPr>
        <w:t xml:space="preserve">? </w:t>
      </w:r>
    </w:p>
    <w:p w14:paraId="6906B0A3" w14:textId="77777777" w:rsidR="00C328B2" w:rsidRDefault="00C328B2" w:rsidP="00C328B2">
      <w:pPr>
        <w:spacing w:before="120" w:after="120"/>
        <w:jc w:val="both"/>
        <w:rPr>
          <w:rFonts w:ascii="Garamond" w:eastAsia="Times New Roman" w:hAnsi="Garamond" w:cs="Times New Roman"/>
          <w:bCs/>
          <w:sz w:val="24"/>
          <w:szCs w:val="24"/>
        </w:rPr>
      </w:pPr>
      <w:r w:rsidRPr="00AB0061">
        <w:rPr>
          <w:rFonts w:ascii="Garamond" w:eastAsia="Times New Roman" w:hAnsi="Garamond" w:cs="Times New Roman"/>
          <w:bCs/>
          <w:sz w:val="24"/>
          <w:szCs w:val="24"/>
        </w:rPr>
        <w:t>Key findings</w:t>
      </w:r>
      <w:r>
        <w:rPr>
          <w:rFonts w:ascii="Garamond" w:eastAsia="Times New Roman" w:hAnsi="Garamond" w:cs="Times New Roman"/>
          <w:bCs/>
          <w:sz w:val="24"/>
          <w:szCs w:val="24"/>
        </w:rPr>
        <w:t xml:space="preserve"> of the underlying research</w:t>
      </w:r>
      <w:r w:rsidRPr="00AB0061">
        <w:rPr>
          <w:rFonts w:ascii="Garamond" w:eastAsia="Times New Roman" w:hAnsi="Garamond" w:cs="Times New Roman"/>
          <w:bCs/>
          <w:sz w:val="24"/>
          <w:szCs w:val="24"/>
        </w:rPr>
        <w:t xml:space="preserve"> </w:t>
      </w:r>
      <w:r>
        <w:rPr>
          <w:rFonts w:ascii="Garamond" w:eastAsia="Times New Roman" w:hAnsi="Garamond" w:cs="Times New Roman"/>
          <w:bCs/>
          <w:sz w:val="24"/>
          <w:szCs w:val="24"/>
        </w:rPr>
        <w:t>include an evaluation of the level of implementation</w:t>
      </w:r>
      <w:r w:rsidRPr="008F4682">
        <w:rPr>
          <w:rFonts w:ascii="Garamond" w:eastAsia="Times New Roman" w:hAnsi="Garamond" w:cs="Times New Roman"/>
          <w:bCs/>
          <w:sz w:val="24"/>
          <w:szCs w:val="24"/>
        </w:rPr>
        <w:t xml:space="preserve"> </w:t>
      </w:r>
      <w:r>
        <w:rPr>
          <w:rFonts w:ascii="Garamond" w:eastAsia="Times New Roman" w:hAnsi="Garamond" w:cs="Times New Roman"/>
          <w:bCs/>
          <w:sz w:val="24"/>
          <w:szCs w:val="24"/>
        </w:rPr>
        <w:t xml:space="preserve">of Circular Economy principles and of their link to sustainable development goals. Furthermore, it will be assessed whether general statements contained in annual reports are followed by the </w:t>
      </w:r>
      <w:r w:rsidRPr="00985CB3">
        <w:rPr>
          <w:rFonts w:ascii="Garamond" w:eastAsia="Times New Roman" w:hAnsi="Garamond" w:cs="Times New Roman"/>
          <w:bCs/>
          <w:sz w:val="24"/>
          <w:szCs w:val="24"/>
        </w:rPr>
        <w:t>implementation</w:t>
      </w:r>
      <w:r>
        <w:rPr>
          <w:rFonts w:ascii="Garamond" w:eastAsia="Times New Roman" w:hAnsi="Garamond" w:cs="Times New Roman"/>
          <w:bCs/>
          <w:sz w:val="24"/>
          <w:szCs w:val="24"/>
        </w:rPr>
        <w:t xml:space="preserve"> of real practices, also surveying which kind of Circular Economy practices are the most popular. An important characteristic of the study is the definition of a period of observation of three years, as an initial attempt to analyse the issue considering also a longitudinal dimension, in order to highlight existing trends inside organisations or sectors.</w:t>
      </w:r>
    </w:p>
    <w:p w14:paraId="3262CD08" w14:textId="427646D7" w:rsidR="001E38F5" w:rsidRPr="001E38F5" w:rsidRDefault="001E38F5" w:rsidP="001E38F5">
      <w:pPr>
        <w:jc w:val="both"/>
        <w:rPr>
          <w:rFonts w:ascii="Garamond" w:hAnsi="Garamond"/>
          <w:sz w:val="24"/>
          <w:szCs w:val="24"/>
        </w:rPr>
      </w:pPr>
      <w:r w:rsidRPr="00E214F6">
        <w:rPr>
          <w:rFonts w:ascii="Garamond" w:hAnsi="Garamond"/>
          <w:sz w:val="24"/>
          <w:szCs w:val="24"/>
        </w:rPr>
        <w:t>The remainder of this document is arranged as follo</w:t>
      </w:r>
      <w:r>
        <w:rPr>
          <w:rFonts w:ascii="Garamond" w:hAnsi="Garamond"/>
          <w:sz w:val="24"/>
          <w:szCs w:val="24"/>
        </w:rPr>
        <w:t xml:space="preserve">ws. The next section </w:t>
      </w:r>
      <w:r w:rsidRPr="00E214F6">
        <w:rPr>
          <w:rFonts w:ascii="Garamond" w:hAnsi="Garamond"/>
          <w:sz w:val="24"/>
          <w:szCs w:val="24"/>
        </w:rPr>
        <w:t>illu</w:t>
      </w:r>
      <w:r>
        <w:rPr>
          <w:rFonts w:ascii="Garamond" w:hAnsi="Garamond"/>
          <w:sz w:val="24"/>
          <w:szCs w:val="24"/>
        </w:rPr>
        <w:t>strates the method</w:t>
      </w:r>
      <w:r w:rsidRPr="00E214F6">
        <w:rPr>
          <w:rFonts w:ascii="Garamond" w:hAnsi="Garamond"/>
          <w:sz w:val="24"/>
          <w:szCs w:val="24"/>
        </w:rPr>
        <w:t xml:space="preserve"> which will be utilised to tackle the research questions. </w:t>
      </w:r>
      <w:r>
        <w:rPr>
          <w:rFonts w:ascii="Garamond" w:hAnsi="Garamond"/>
          <w:sz w:val="24"/>
          <w:szCs w:val="24"/>
        </w:rPr>
        <w:t>In Section 3</w:t>
      </w:r>
      <w:r w:rsidR="00C328B2">
        <w:rPr>
          <w:rFonts w:ascii="Garamond" w:hAnsi="Garamond"/>
          <w:sz w:val="24"/>
          <w:szCs w:val="24"/>
        </w:rPr>
        <w:t>,</w:t>
      </w:r>
      <w:r w:rsidRPr="00E214F6">
        <w:rPr>
          <w:rFonts w:ascii="Garamond" w:hAnsi="Garamond"/>
          <w:sz w:val="24"/>
          <w:szCs w:val="24"/>
        </w:rPr>
        <w:t xml:space="preserve"> we highlight the contribution to theory and practice</w:t>
      </w:r>
      <w:r w:rsidR="00C328B2">
        <w:rPr>
          <w:rFonts w:ascii="Garamond" w:hAnsi="Garamond"/>
          <w:sz w:val="24"/>
          <w:szCs w:val="24"/>
        </w:rPr>
        <w:t xml:space="preserve"> provided by the study, along with some avenues for future research</w:t>
      </w:r>
      <w:r>
        <w:rPr>
          <w:rFonts w:ascii="Garamond" w:hAnsi="Garamond"/>
          <w:sz w:val="24"/>
          <w:szCs w:val="24"/>
        </w:rPr>
        <w:t>.</w:t>
      </w:r>
      <w:r w:rsidRPr="00E214F6">
        <w:rPr>
          <w:rFonts w:ascii="Garamond" w:hAnsi="Garamond"/>
          <w:sz w:val="24"/>
          <w:szCs w:val="24"/>
        </w:rPr>
        <w:t xml:space="preserve"> </w:t>
      </w:r>
    </w:p>
    <w:p w14:paraId="211B6618" w14:textId="77777777" w:rsidR="00035C79" w:rsidRPr="00D520AE" w:rsidRDefault="00035C79" w:rsidP="00035C79">
      <w:pPr>
        <w:jc w:val="both"/>
        <w:rPr>
          <w:rFonts w:ascii="Garamond" w:hAnsi="Garamond"/>
          <w:sz w:val="24"/>
          <w:szCs w:val="24"/>
        </w:rPr>
      </w:pPr>
    </w:p>
    <w:p w14:paraId="33285D1E" w14:textId="77777777" w:rsidR="00035C79" w:rsidRPr="00B8179B" w:rsidRDefault="00035C79" w:rsidP="00B8179B">
      <w:pPr>
        <w:pStyle w:val="ListParagraph"/>
        <w:numPr>
          <w:ilvl w:val="0"/>
          <w:numId w:val="2"/>
        </w:numPr>
        <w:spacing w:before="120" w:after="120"/>
        <w:jc w:val="both"/>
        <w:rPr>
          <w:rFonts w:ascii="Garamond" w:eastAsia="Times New Roman" w:hAnsi="Garamond" w:cs="Times New Roman"/>
          <w:b/>
          <w:sz w:val="24"/>
          <w:szCs w:val="24"/>
        </w:rPr>
      </w:pPr>
      <w:r w:rsidRPr="00B8179B">
        <w:rPr>
          <w:rFonts w:ascii="Garamond" w:eastAsia="Times New Roman" w:hAnsi="Garamond" w:cs="Times New Roman"/>
          <w:b/>
          <w:sz w:val="24"/>
          <w:szCs w:val="24"/>
        </w:rPr>
        <w:t>Research Method</w:t>
      </w:r>
    </w:p>
    <w:p w14:paraId="2E891CCB" w14:textId="5EA38542" w:rsidR="00035C79" w:rsidRDefault="00335F51" w:rsidP="00081E56">
      <w:pPr>
        <w:spacing w:before="120" w:after="120"/>
        <w:jc w:val="both"/>
        <w:rPr>
          <w:rFonts w:ascii="Garamond" w:eastAsia="Times New Roman" w:hAnsi="Garamond" w:cs="Times New Roman"/>
          <w:bCs/>
          <w:sz w:val="24"/>
          <w:szCs w:val="24"/>
        </w:rPr>
      </w:pPr>
      <w:r>
        <w:rPr>
          <w:rFonts w:ascii="Garamond" w:eastAsia="Times New Roman" w:hAnsi="Garamond" w:cs="Times New Roman"/>
          <w:bCs/>
          <w:sz w:val="24"/>
          <w:szCs w:val="24"/>
        </w:rPr>
        <w:t>The</w:t>
      </w:r>
      <w:r w:rsidR="00035C79">
        <w:rPr>
          <w:rFonts w:ascii="Garamond" w:eastAsia="Times New Roman" w:hAnsi="Garamond" w:cs="Times New Roman"/>
          <w:bCs/>
          <w:sz w:val="24"/>
          <w:szCs w:val="24"/>
        </w:rPr>
        <w:t xml:space="preserve"> set of European companies </w:t>
      </w:r>
      <w:r w:rsidR="00C328B2">
        <w:rPr>
          <w:rFonts w:ascii="Garamond" w:eastAsia="Times New Roman" w:hAnsi="Garamond" w:cs="Times New Roman"/>
          <w:bCs/>
          <w:sz w:val="24"/>
          <w:szCs w:val="24"/>
        </w:rPr>
        <w:t xml:space="preserve">which will be employed for this study </w:t>
      </w:r>
      <w:r w:rsidR="00035C79">
        <w:rPr>
          <w:rFonts w:ascii="Garamond" w:eastAsia="Times New Roman" w:hAnsi="Garamond" w:cs="Times New Roman"/>
          <w:bCs/>
          <w:sz w:val="24"/>
          <w:szCs w:val="24"/>
        </w:rPr>
        <w:t xml:space="preserve">will be </w:t>
      </w:r>
      <w:r w:rsidR="00277183">
        <w:rPr>
          <w:rFonts w:ascii="Garamond" w:eastAsia="Times New Roman" w:hAnsi="Garamond" w:cs="Times New Roman"/>
          <w:bCs/>
          <w:sz w:val="24"/>
          <w:szCs w:val="24"/>
        </w:rPr>
        <w:t xml:space="preserve">defined on the basis of the Global </w:t>
      </w:r>
      <w:r w:rsidR="00277183" w:rsidRPr="00985CB3">
        <w:rPr>
          <w:rFonts w:ascii="Garamond" w:eastAsia="Times New Roman" w:hAnsi="Garamond" w:cs="Times New Roman"/>
          <w:bCs/>
          <w:sz w:val="24"/>
          <w:szCs w:val="24"/>
        </w:rPr>
        <w:t>Fortune 500 list</w:t>
      </w:r>
      <w:r w:rsidR="00277183">
        <w:rPr>
          <w:rFonts w:ascii="Garamond" w:eastAsia="Times New Roman" w:hAnsi="Garamond" w:cs="Times New Roman"/>
          <w:bCs/>
          <w:sz w:val="24"/>
          <w:szCs w:val="24"/>
        </w:rPr>
        <w:t xml:space="preserve"> </w:t>
      </w:r>
      <w:r w:rsidR="00C328B2">
        <w:rPr>
          <w:rFonts w:ascii="Garamond" w:eastAsia="Times New Roman" w:hAnsi="Garamond" w:cs="Times New Roman"/>
          <w:bCs/>
          <w:sz w:val="24"/>
          <w:szCs w:val="24"/>
        </w:rPr>
        <w:t>(</w:t>
      </w:r>
      <w:r w:rsidR="00277183">
        <w:rPr>
          <w:rFonts w:ascii="Garamond" w:eastAsia="Times New Roman" w:hAnsi="Garamond" w:cs="Times New Roman"/>
          <w:bCs/>
          <w:sz w:val="24"/>
          <w:szCs w:val="24"/>
        </w:rPr>
        <w:t>2019</w:t>
      </w:r>
      <w:r w:rsidR="00C328B2">
        <w:rPr>
          <w:rFonts w:ascii="Garamond" w:eastAsia="Times New Roman" w:hAnsi="Garamond" w:cs="Times New Roman"/>
          <w:bCs/>
          <w:sz w:val="24"/>
          <w:szCs w:val="24"/>
        </w:rPr>
        <w:t xml:space="preserve"> edition). Such a list </w:t>
      </w:r>
      <w:r w:rsidR="00277183">
        <w:rPr>
          <w:rFonts w:ascii="Garamond" w:eastAsia="Times New Roman" w:hAnsi="Garamond" w:cs="Times New Roman"/>
          <w:bCs/>
          <w:sz w:val="24"/>
          <w:szCs w:val="24"/>
        </w:rPr>
        <w:t xml:space="preserve">collects the </w:t>
      </w:r>
      <w:r w:rsidR="00C328B2">
        <w:rPr>
          <w:rFonts w:ascii="Garamond" w:eastAsia="Times New Roman" w:hAnsi="Garamond" w:cs="Times New Roman"/>
          <w:bCs/>
          <w:sz w:val="24"/>
          <w:szCs w:val="24"/>
        </w:rPr>
        <w:t>top-</w:t>
      </w:r>
      <w:r w:rsidR="00277183">
        <w:rPr>
          <w:rFonts w:ascii="Garamond" w:eastAsia="Times New Roman" w:hAnsi="Garamond" w:cs="Times New Roman"/>
          <w:bCs/>
          <w:sz w:val="24"/>
          <w:szCs w:val="24"/>
        </w:rPr>
        <w:t>500 international corporat</w:t>
      </w:r>
      <w:r w:rsidR="00C328B2">
        <w:rPr>
          <w:rFonts w:ascii="Garamond" w:eastAsia="Times New Roman" w:hAnsi="Garamond" w:cs="Times New Roman"/>
          <w:bCs/>
          <w:sz w:val="24"/>
          <w:szCs w:val="24"/>
        </w:rPr>
        <w:t>ions</w:t>
      </w:r>
      <w:r w:rsidR="00277183">
        <w:rPr>
          <w:rFonts w:ascii="Garamond" w:eastAsia="Times New Roman" w:hAnsi="Garamond" w:cs="Times New Roman"/>
          <w:bCs/>
          <w:sz w:val="24"/>
          <w:szCs w:val="24"/>
        </w:rPr>
        <w:t xml:space="preserve"> in terms of turnover </w:t>
      </w:r>
      <w:r w:rsidR="00C328B2">
        <w:rPr>
          <w:rFonts w:ascii="Garamond" w:eastAsia="Times New Roman" w:hAnsi="Garamond" w:cs="Times New Roman"/>
          <w:bCs/>
          <w:sz w:val="24"/>
          <w:szCs w:val="24"/>
        </w:rPr>
        <w:t xml:space="preserve">generated </w:t>
      </w:r>
      <w:r w:rsidR="00277183">
        <w:rPr>
          <w:rFonts w:ascii="Garamond" w:eastAsia="Times New Roman" w:hAnsi="Garamond" w:cs="Times New Roman"/>
          <w:bCs/>
          <w:sz w:val="24"/>
          <w:szCs w:val="24"/>
        </w:rPr>
        <w:t xml:space="preserve">during </w:t>
      </w:r>
      <w:r w:rsidR="00C328B2">
        <w:rPr>
          <w:rFonts w:ascii="Garamond" w:eastAsia="Times New Roman" w:hAnsi="Garamond" w:cs="Times New Roman"/>
          <w:bCs/>
          <w:sz w:val="24"/>
          <w:szCs w:val="24"/>
        </w:rPr>
        <w:t xml:space="preserve">the </w:t>
      </w:r>
      <w:r w:rsidR="00277183">
        <w:rPr>
          <w:rFonts w:ascii="Garamond" w:eastAsia="Times New Roman" w:hAnsi="Garamond" w:cs="Times New Roman"/>
          <w:bCs/>
          <w:sz w:val="24"/>
          <w:szCs w:val="24"/>
        </w:rPr>
        <w:t>2018</w:t>
      </w:r>
      <w:r w:rsidR="00C328B2">
        <w:rPr>
          <w:rFonts w:ascii="Garamond" w:eastAsia="Times New Roman" w:hAnsi="Garamond" w:cs="Times New Roman"/>
          <w:bCs/>
          <w:sz w:val="24"/>
          <w:szCs w:val="24"/>
        </w:rPr>
        <w:t xml:space="preserve"> financial year</w:t>
      </w:r>
      <w:r w:rsidR="00035C79">
        <w:rPr>
          <w:rFonts w:ascii="Garamond" w:eastAsia="Times New Roman" w:hAnsi="Garamond" w:cs="Times New Roman"/>
          <w:bCs/>
          <w:sz w:val="24"/>
          <w:szCs w:val="24"/>
        </w:rPr>
        <w:t xml:space="preserve">. </w:t>
      </w:r>
      <w:r w:rsidR="00350C16">
        <w:rPr>
          <w:rFonts w:ascii="Garamond" w:eastAsia="Times New Roman" w:hAnsi="Garamond" w:cs="Times New Roman"/>
          <w:bCs/>
          <w:sz w:val="24"/>
          <w:szCs w:val="24"/>
        </w:rPr>
        <w:t>In order t</w:t>
      </w:r>
      <w:r w:rsidR="00035C79">
        <w:rPr>
          <w:rFonts w:ascii="Garamond" w:eastAsia="Times New Roman" w:hAnsi="Garamond" w:cs="Times New Roman"/>
          <w:bCs/>
          <w:sz w:val="24"/>
          <w:szCs w:val="24"/>
        </w:rPr>
        <w:t>o address the three research questions, data found in the</w:t>
      </w:r>
      <w:r w:rsidR="00C328B2">
        <w:rPr>
          <w:rFonts w:ascii="Garamond" w:eastAsia="Times New Roman" w:hAnsi="Garamond" w:cs="Times New Roman"/>
          <w:bCs/>
          <w:sz w:val="24"/>
          <w:szCs w:val="24"/>
        </w:rPr>
        <w:t xml:space="preserve"> sourced</w:t>
      </w:r>
      <w:r w:rsidR="00035C79">
        <w:rPr>
          <w:rFonts w:ascii="Garamond" w:eastAsia="Times New Roman" w:hAnsi="Garamond" w:cs="Times New Roman"/>
          <w:bCs/>
          <w:sz w:val="24"/>
          <w:szCs w:val="24"/>
        </w:rPr>
        <w:t xml:space="preserve"> CS reports will be coded and analysed using a content </w:t>
      </w:r>
      <w:r>
        <w:rPr>
          <w:rFonts w:ascii="Garamond" w:eastAsia="Times New Roman" w:hAnsi="Garamond" w:cs="Times New Roman"/>
          <w:bCs/>
          <w:sz w:val="24"/>
          <w:szCs w:val="24"/>
        </w:rPr>
        <w:t xml:space="preserve">and a mapping </w:t>
      </w:r>
      <w:r w:rsidR="00035C79">
        <w:rPr>
          <w:rFonts w:ascii="Garamond" w:eastAsia="Times New Roman" w:hAnsi="Garamond" w:cs="Times New Roman"/>
          <w:bCs/>
          <w:sz w:val="24"/>
          <w:szCs w:val="24"/>
        </w:rPr>
        <w:t xml:space="preserve">analysis approach, on the model of the similar </w:t>
      </w:r>
      <w:r w:rsidR="00C328B2">
        <w:rPr>
          <w:rFonts w:ascii="Garamond" w:eastAsia="Times New Roman" w:hAnsi="Garamond" w:cs="Times New Roman"/>
          <w:bCs/>
          <w:sz w:val="24"/>
          <w:szCs w:val="24"/>
        </w:rPr>
        <w:t>study</w:t>
      </w:r>
      <w:r w:rsidR="00035C79">
        <w:rPr>
          <w:rFonts w:ascii="Garamond" w:eastAsia="Times New Roman" w:hAnsi="Garamond" w:cs="Times New Roman"/>
          <w:bCs/>
          <w:sz w:val="24"/>
          <w:szCs w:val="24"/>
        </w:rPr>
        <w:t xml:space="preserve"> condu</w:t>
      </w:r>
      <w:r w:rsidR="00081E56">
        <w:rPr>
          <w:rFonts w:ascii="Garamond" w:eastAsia="Times New Roman" w:hAnsi="Garamond" w:cs="Times New Roman"/>
          <w:bCs/>
          <w:sz w:val="24"/>
          <w:szCs w:val="24"/>
        </w:rPr>
        <w:t xml:space="preserve">cted by Stewart &amp; Niero (2018), which is focused </w:t>
      </w:r>
      <w:r w:rsidR="00035C79">
        <w:rPr>
          <w:rFonts w:ascii="Garamond" w:eastAsia="Times New Roman" w:hAnsi="Garamond" w:cs="Times New Roman"/>
          <w:bCs/>
          <w:sz w:val="24"/>
          <w:szCs w:val="24"/>
        </w:rPr>
        <w:t xml:space="preserve">on the FMCG sector. </w:t>
      </w:r>
      <w:r w:rsidR="00C328B2">
        <w:rPr>
          <w:rFonts w:ascii="Garamond" w:eastAsia="Times New Roman" w:hAnsi="Garamond" w:cs="Times New Roman"/>
          <w:bCs/>
          <w:sz w:val="24"/>
          <w:szCs w:val="24"/>
        </w:rPr>
        <w:t>Concerning RQ2, data found in the CS r</w:t>
      </w:r>
      <w:r w:rsidR="00035C79">
        <w:rPr>
          <w:rFonts w:ascii="Garamond" w:eastAsia="Times New Roman" w:hAnsi="Garamond" w:cs="Times New Roman"/>
          <w:bCs/>
          <w:sz w:val="24"/>
          <w:szCs w:val="24"/>
        </w:rPr>
        <w:t xml:space="preserve">eport will be integrated with </w:t>
      </w:r>
      <w:r w:rsidR="00C328B2">
        <w:rPr>
          <w:rFonts w:ascii="Garamond" w:eastAsia="Times New Roman" w:hAnsi="Garamond" w:cs="Times New Roman"/>
          <w:bCs/>
          <w:sz w:val="24"/>
          <w:szCs w:val="24"/>
        </w:rPr>
        <w:t>further information</w:t>
      </w:r>
      <w:r w:rsidR="00035C79">
        <w:rPr>
          <w:rFonts w:ascii="Garamond" w:eastAsia="Times New Roman" w:hAnsi="Garamond" w:cs="Times New Roman"/>
          <w:bCs/>
          <w:sz w:val="24"/>
          <w:szCs w:val="24"/>
        </w:rPr>
        <w:t xml:space="preserve"> coming from secondary sources, including </w:t>
      </w:r>
      <w:r w:rsidR="00035C79" w:rsidRPr="00E214F6">
        <w:rPr>
          <w:rFonts w:ascii="Garamond" w:hAnsi="Garamond"/>
          <w:sz w:val="24"/>
          <w:szCs w:val="24"/>
        </w:rPr>
        <w:t>press release</w:t>
      </w:r>
      <w:r w:rsidR="00035C79">
        <w:rPr>
          <w:rFonts w:ascii="Garamond" w:hAnsi="Garamond"/>
          <w:sz w:val="24"/>
          <w:szCs w:val="24"/>
        </w:rPr>
        <w:t xml:space="preserve">s, firms’ websites, newspapers articles, </w:t>
      </w:r>
      <w:r w:rsidR="00C328B2">
        <w:rPr>
          <w:rFonts w:ascii="Garamond" w:hAnsi="Garamond"/>
          <w:sz w:val="24"/>
          <w:szCs w:val="24"/>
        </w:rPr>
        <w:t xml:space="preserve">along with reports and </w:t>
      </w:r>
      <w:r w:rsidR="00035C79" w:rsidRPr="00E214F6">
        <w:rPr>
          <w:rFonts w:ascii="Garamond" w:hAnsi="Garamond"/>
          <w:sz w:val="24"/>
          <w:szCs w:val="24"/>
        </w:rPr>
        <w:t>white papers from consulting companies</w:t>
      </w:r>
      <w:r w:rsidR="00035C79">
        <w:rPr>
          <w:rFonts w:ascii="Garamond" w:hAnsi="Garamond"/>
          <w:sz w:val="24"/>
          <w:szCs w:val="24"/>
        </w:rPr>
        <w:t>. Furthermore, a longitudinal approach will be adopted for all the 50 companies of the subset,</w:t>
      </w:r>
      <w:r w:rsidR="00C328B2">
        <w:rPr>
          <w:rFonts w:ascii="Garamond" w:hAnsi="Garamond"/>
          <w:sz w:val="24"/>
          <w:szCs w:val="24"/>
        </w:rPr>
        <w:t xml:space="preserve"> in order</w:t>
      </w:r>
      <w:r w:rsidR="00035C79">
        <w:rPr>
          <w:rFonts w:ascii="Garamond" w:hAnsi="Garamond"/>
          <w:sz w:val="24"/>
          <w:szCs w:val="24"/>
        </w:rPr>
        <w:t xml:space="preserve"> to highlight </w:t>
      </w:r>
      <w:r w:rsidR="00C328B2">
        <w:rPr>
          <w:rFonts w:ascii="Garamond" w:hAnsi="Garamond"/>
          <w:sz w:val="24"/>
          <w:szCs w:val="24"/>
        </w:rPr>
        <w:t>the evolution of the adoption of Circular Economy practices; as such, CS reports from the 2016, 2017 and 2018 financial years will be surveyed</w:t>
      </w:r>
      <w:r w:rsidR="00035C79">
        <w:rPr>
          <w:rFonts w:ascii="Garamond" w:hAnsi="Garamond"/>
          <w:sz w:val="24"/>
          <w:szCs w:val="24"/>
        </w:rPr>
        <w:t>.</w:t>
      </w:r>
    </w:p>
    <w:p w14:paraId="5D2269DE" w14:textId="42B0C37A" w:rsidR="00035C79" w:rsidRDefault="00035C79" w:rsidP="00035C79">
      <w:pPr>
        <w:spacing w:before="120" w:after="120"/>
        <w:jc w:val="both"/>
        <w:rPr>
          <w:rFonts w:ascii="Garamond" w:eastAsia="Times New Roman" w:hAnsi="Garamond" w:cs="Times New Roman"/>
          <w:bCs/>
          <w:sz w:val="24"/>
          <w:szCs w:val="24"/>
        </w:rPr>
      </w:pPr>
      <w:r>
        <w:rPr>
          <w:rFonts w:ascii="Garamond" w:eastAsia="Times New Roman" w:hAnsi="Garamond" w:cs="Times New Roman"/>
          <w:sz w:val="24"/>
          <w:szCs w:val="24"/>
        </w:rPr>
        <w:t>T</w:t>
      </w:r>
      <w:r w:rsidRPr="00E214F6">
        <w:rPr>
          <w:rFonts w:ascii="Garamond" w:eastAsia="Times New Roman" w:hAnsi="Garamond" w:cs="Times New Roman"/>
          <w:sz w:val="24"/>
          <w:szCs w:val="24"/>
        </w:rPr>
        <w:t xml:space="preserve">he review will </w:t>
      </w:r>
      <w:r>
        <w:rPr>
          <w:rFonts w:ascii="Garamond" w:eastAsia="Times New Roman" w:hAnsi="Garamond" w:cs="Times New Roman"/>
          <w:sz w:val="24"/>
          <w:szCs w:val="24"/>
        </w:rPr>
        <w:t>consist of</w:t>
      </w:r>
      <w:r w:rsidRPr="00E214F6">
        <w:rPr>
          <w:rFonts w:ascii="Garamond" w:eastAsia="Times New Roman" w:hAnsi="Garamond" w:cs="Times New Roman"/>
          <w:sz w:val="24"/>
          <w:szCs w:val="24"/>
        </w:rPr>
        <w:t xml:space="preserve"> </w:t>
      </w:r>
      <w:r>
        <w:rPr>
          <w:rFonts w:ascii="Garamond" w:eastAsia="Times New Roman" w:hAnsi="Garamond" w:cs="Times New Roman"/>
          <w:sz w:val="24"/>
          <w:szCs w:val="24"/>
        </w:rPr>
        <w:t>three</w:t>
      </w:r>
      <w:r w:rsidRPr="00E214F6">
        <w:rPr>
          <w:rFonts w:ascii="Garamond" w:eastAsia="Times New Roman" w:hAnsi="Garamond" w:cs="Times New Roman"/>
          <w:sz w:val="24"/>
          <w:szCs w:val="24"/>
        </w:rPr>
        <w:t xml:space="preserve"> main phases</w:t>
      </w:r>
      <w:r>
        <w:rPr>
          <w:rFonts w:ascii="Garamond" w:eastAsia="Times New Roman" w:hAnsi="Garamond" w:cs="Times New Roman"/>
          <w:sz w:val="24"/>
          <w:szCs w:val="24"/>
        </w:rPr>
        <w:t>:</w:t>
      </w:r>
      <w:r w:rsidRPr="00E214F6">
        <w:rPr>
          <w:rFonts w:ascii="Garamond" w:eastAsia="Times New Roman" w:hAnsi="Garamond" w:cs="Times New Roman"/>
          <w:sz w:val="24"/>
          <w:szCs w:val="24"/>
        </w:rPr>
        <w:t xml:space="preserve"> (i) </w:t>
      </w:r>
      <w:r>
        <w:rPr>
          <w:rFonts w:ascii="Garamond" w:eastAsia="Times New Roman" w:hAnsi="Garamond" w:cs="Times New Roman"/>
          <w:bCs/>
          <w:sz w:val="24"/>
          <w:szCs w:val="24"/>
        </w:rPr>
        <w:t>s</w:t>
      </w:r>
      <w:r w:rsidRPr="00AF63FF">
        <w:rPr>
          <w:rFonts w:ascii="Garamond" w:eastAsia="Times New Roman" w:hAnsi="Garamond" w:cs="Times New Roman"/>
          <w:bCs/>
          <w:sz w:val="24"/>
          <w:szCs w:val="24"/>
        </w:rPr>
        <w:t>ample definition</w:t>
      </w:r>
      <w:r w:rsidRPr="00E214F6">
        <w:rPr>
          <w:rFonts w:ascii="Garamond" w:eastAsia="Times New Roman" w:hAnsi="Garamond" w:cs="Times New Roman"/>
          <w:sz w:val="24"/>
          <w:szCs w:val="24"/>
        </w:rPr>
        <w:t xml:space="preserve">, (ii) </w:t>
      </w:r>
      <w:r>
        <w:rPr>
          <w:rFonts w:ascii="Garamond" w:eastAsia="Times New Roman" w:hAnsi="Garamond" w:cs="Times New Roman"/>
          <w:sz w:val="24"/>
          <w:szCs w:val="24"/>
        </w:rPr>
        <w:t xml:space="preserve">data </w:t>
      </w:r>
      <w:r>
        <w:rPr>
          <w:rFonts w:ascii="Garamond" w:eastAsia="Times New Roman" w:hAnsi="Garamond" w:cs="Times New Roman"/>
          <w:bCs/>
          <w:sz w:val="24"/>
          <w:szCs w:val="24"/>
        </w:rPr>
        <w:t>collection</w:t>
      </w:r>
      <w:r>
        <w:rPr>
          <w:rFonts w:ascii="Garamond" w:eastAsia="Times New Roman" w:hAnsi="Garamond" w:cs="Times New Roman"/>
          <w:sz w:val="24"/>
          <w:szCs w:val="24"/>
        </w:rPr>
        <w:t xml:space="preserve"> and (iii</w:t>
      </w:r>
      <w:r w:rsidR="00C328B2">
        <w:rPr>
          <w:rFonts w:ascii="Garamond" w:eastAsia="Times New Roman" w:hAnsi="Garamond" w:cs="Times New Roman"/>
          <w:sz w:val="24"/>
          <w:szCs w:val="24"/>
        </w:rPr>
        <w:t xml:space="preserve">) data analysis </w:t>
      </w:r>
      <w:r>
        <w:rPr>
          <w:rFonts w:ascii="Garamond" w:eastAsia="Times New Roman" w:hAnsi="Garamond" w:cs="Times New Roman"/>
          <w:bCs/>
          <w:sz w:val="24"/>
          <w:szCs w:val="24"/>
        </w:rPr>
        <w:t>(see Figure 1)</w:t>
      </w:r>
      <w:r w:rsidR="00142F60">
        <w:rPr>
          <w:rFonts w:ascii="Garamond" w:eastAsia="Times New Roman" w:hAnsi="Garamond" w:cs="Times New Roman"/>
          <w:bCs/>
          <w:sz w:val="24"/>
          <w:szCs w:val="24"/>
        </w:rPr>
        <w:t>.</w:t>
      </w:r>
      <w:r w:rsidR="00C328B2">
        <w:rPr>
          <w:rFonts w:ascii="Garamond" w:eastAsia="Times New Roman" w:hAnsi="Garamond" w:cs="Times New Roman"/>
          <w:bCs/>
          <w:sz w:val="24"/>
          <w:szCs w:val="24"/>
        </w:rPr>
        <w:t xml:space="preserve"> The following sub-paragraphs describe these steps in detail.</w:t>
      </w:r>
    </w:p>
    <w:p w14:paraId="4413ED84" w14:textId="77777777" w:rsidR="00142F60" w:rsidRPr="00B8179B" w:rsidRDefault="00142F60" w:rsidP="00142F60">
      <w:pPr>
        <w:spacing w:before="120" w:after="120"/>
        <w:jc w:val="both"/>
        <w:rPr>
          <w:rFonts w:ascii="Garamond" w:eastAsia="Times New Roman" w:hAnsi="Garamond" w:cs="Times New Roman"/>
          <w:i/>
          <w:sz w:val="24"/>
          <w:szCs w:val="24"/>
        </w:rPr>
      </w:pPr>
      <w:r>
        <w:rPr>
          <w:rFonts w:ascii="Garamond" w:eastAsia="Times New Roman" w:hAnsi="Garamond" w:cs="Times New Roman"/>
          <w:bCs/>
          <w:sz w:val="24"/>
          <w:szCs w:val="24"/>
        </w:rPr>
        <w:br/>
      </w:r>
      <w:r w:rsidRPr="00B8179B">
        <w:rPr>
          <w:rFonts w:ascii="Garamond" w:eastAsia="Times New Roman" w:hAnsi="Garamond" w:cs="Times New Roman"/>
          <w:i/>
          <w:sz w:val="24"/>
          <w:szCs w:val="24"/>
        </w:rPr>
        <w:t>2.1 Sample definition</w:t>
      </w:r>
    </w:p>
    <w:p w14:paraId="4B8BC7E7" w14:textId="5A267F2A" w:rsidR="00142F60" w:rsidRPr="006718D5" w:rsidRDefault="00142F60" w:rsidP="00142F60">
      <w:pPr>
        <w:spacing w:before="120" w:after="120"/>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The sample has been defined utilising the Global </w:t>
      </w:r>
      <w:r w:rsidRPr="00985CB3">
        <w:rPr>
          <w:rFonts w:ascii="Garamond" w:eastAsia="Times New Roman" w:hAnsi="Garamond" w:cs="Times New Roman"/>
          <w:bCs/>
          <w:sz w:val="24"/>
          <w:szCs w:val="24"/>
        </w:rPr>
        <w:t>Fortune 500 list</w:t>
      </w:r>
      <w:r>
        <w:rPr>
          <w:rFonts w:ascii="Garamond" w:eastAsia="Times New Roman" w:hAnsi="Garamond" w:cs="Times New Roman"/>
          <w:bCs/>
          <w:sz w:val="24"/>
          <w:szCs w:val="24"/>
        </w:rPr>
        <w:t xml:space="preserve"> (2019 edi</w:t>
      </w:r>
      <w:r w:rsidR="00C328B2">
        <w:rPr>
          <w:rFonts w:ascii="Garamond" w:eastAsia="Times New Roman" w:hAnsi="Garamond" w:cs="Times New Roman"/>
          <w:bCs/>
          <w:sz w:val="24"/>
          <w:szCs w:val="24"/>
        </w:rPr>
        <w:t>tion), which collects the Top-</w:t>
      </w:r>
      <w:r>
        <w:rPr>
          <w:rFonts w:ascii="Garamond" w:eastAsia="Times New Roman" w:hAnsi="Garamond" w:cs="Times New Roman"/>
          <w:bCs/>
          <w:sz w:val="24"/>
          <w:szCs w:val="24"/>
        </w:rPr>
        <w:t>500 international corporations in terms of turnover generated during the 2018 year. As t</w:t>
      </w:r>
      <w:r w:rsidR="00C328B2">
        <w:rPr>
          <w:rFonts w:ascii="Garamond" w:eastAsia="Times New Roman" w:hAnsi="Garamond" w:cs="Times New Roman"/>
          <w:bCs/>
          <w:sz w:val="24"/>
          <w:szCs w:val="24"/>
        </w:rPr>
        <w:t>he study is part of the EU-funded Horizon 2020 Innovative</w:t>
      </w:r>
      <w:r>
        <w:rPr>
          <w:rFonts w:ascii="Garamond" w:eastAsia="Times New Roman" w:hAnsi="Garamond" w:cs="Times New Roman"/>
          <w:bCs/>
          <w:sz w:val="24"/>
          <w:szCs w:val="24"/>
        </w:rPr>
        <w:t xml:space="preserve"> Training Network ReTraCE, it has been focused on companies within this geographical region, more specifically on the </w:t>
      </w:r>
      <w:r w:rsidR="00C328B2">
        <w:rPr>
          <w:rFonts w:ascii="Garamond" w:eastAsia="Times New Roman" w:hAnsi="Garamond" w:cs="Times New Roman"/>
          <w:bCs/>
          <w:sz w:val="24"/>
          <w:szCs w:val="24"/>
        </w:rPr>
        <w:t>T</w:t>
      </w:r>
      <w:r w:rsidRPr="00985CB3">
        <w:rPr>
          <w:rFonts w:ascii="Garamond" w:eastAsia="Times New Roman" w:hAnsi="Garamond" w:cs="Times New Roman"/>
          <w:bCs/>
          <w:sz w:val="24"/>
          <w:szCs w:val="24"/>
        </w:rPr>
        <w:t>op</w:t>
      </w:r>
      <w:r>
        <w:rPr>
          <w:rFonts w:ascii="Garamond" w:eastAsia="Times New Roman" w:hAnsi="Garamond" w:cs="Times New Roman"/>
          <w:bCs/>
          <w:sz w:val="24"/>
          <w:szCs w:val="24"/>
        </w:rPr>
        <w:t>-</w:t>
      </w:r>
      <w:r w:rsidRPr="00985CB3">
        <w:rPr>
          <w:rFonts w:ascii="Garamond" w:eastAsia="Times New Roman" w:hAnsi="Garamond" w:cs="Times New Roman"/>
          <w:bCs/>
          <w:sz w:val="24"/>
          <w:szCs w:val="24"/>
        </w:rPr>
        <w:t>50</w:t>
      </w:r>
      <w:r>
        <w:rPr>
          <w:rFonts w:ascii="Garamond" w:eastAsia="Times New Roman" w:hAnsi="Garamond" w:cs="Times New Roman"/>
          <w:bCs/>
          <w:sz w:val="24"/>
          <w:szCs w:val="24"/>
        </w:rPr>
        <w:t xml:space="preserve"> European companies in the list. The sample </w:t>
      </w:r>
      <w:r w:rsidR="00C328B2">
        <w:rPr>
          <w:rFonts w:ascii="Garamond" w:eastAsia="Times New Roman" w:hAnsi="Garamond" w:cs="Times New Roman"/>
          <w:bCs/>
          <w:sz w:val="24"/>
          <w:szCs w:val="24"/>
        </w:rPr>
        <w:t>includes</w:t>
      </w:r>
      <w:r>
        <w:rPr>
          <w:rFonts w:ascii="Garamond" w:eastAsia="Times New Roman" w:hAnsi="Garamond" w:cs="Times New Roman"/>
          <w:bCs/>
          <w:sz w:val="24"/>
          <w:szCs w:val="24"/>
        </w:rPr>
        <w:t xml:space="preserve"> a set of companies belonging to different industries and regions in Europe. </w:t>
      </w:r>
    </w:p>
    <w:p w14:paraId="4C80D8C9" w14:textId="5341771D" w:rsidR="00142F60" w:rsidRDefault="00142F60" w:rsidP="00142F60">
      <w:pPr>
        <w:spacing w:before="120" w:after="120"/>
        <w:jc w:val="both"/>
        <w:rPr>
          <w:rFonts w:ascii="Garamond" w:hAnsi="Garamond"/>
          <w:sz w:val="24"/>
          <w:szCs w:val="24"/>
        </w:rPr>
      </w:pPr>
      <w:r>
        <w:rPr>
          <w:rFonts w:ascii="Garamond" w:eastAsia="Times New Roman" w:hAnsi="Garamond" w:cs="Times New Roman"/>
          <w:bCs/>
          <w:sz w:val="24"/>
          <w:szCs w:val="24"/>
        </w:rPr>
        <w:t>The online database Corporate Register has been used to collect the C</w:t>
      </w:r>
      <w:r w:rsidR="00FC35BB">
        <w:rPr>
          <w:rFonts w:ascii="Garamond" w:eastAsia="Times New Roman" w:hAnsi="Garamond" w:cs="Times New Roman"/>
          <w:bCs/>
          <w:sz w:val="24"/>
          <w:szCs w:val="24"/>
        </w:rPr>
        <w:t xml:space="preserve">S Reports referred to the </w:t>
      </w:r>
      <w:r>
        <w:rPr>
          <w:rFonts w:ascii="Garamond" w:eastAsia="Times New Roman" w:hAnsi="Garamond" w:cs="Times New Roman"/>
          <w:bCs/>
          <w:sz w:val="24"/>
          <w:szCs w:val="24"/>
        </w:rPr>
        <w:t xml:space="preserve">2016, 2017 and 2018 </w:t>
      </w:r>
      <w:r w:rsidR="00FC35BB">
        <w:rPr>
          <w:rFonts w:ascii="Garamond" w:eastAsia="Times New Roman" w:hAnsi="Garamond" w:cs="Times New Roman"/>
          <w:bCs/>
          <w:sz w:val="24"/>
          <w:szCs w:val="24"/>
        </w:rPr>
        <w:t xml:space="preserve">financial years </w:t>
      </w:r>
      <w:r>
        <w:rPr>
          <w:rFonts w:ascii="Garamond" w:eastAsia="Times New Roman" w:hAnsi="Garamond" w:cs="Times New Roman"/>
          <w:bCs/>
          <w:sz w:val="24"/>
          <w:szCs w:val="24"/>
        </w:rPr>
        <w:t xml:space="preserve">for all the companies of the subset. </w:t>
      </w:r>
      <w:r w:rsidR="00FC35BB">
        <w:rPr>
          <w:rFonts w:ascii="Garamond" w:eastAsia="Times New Roman" w:hAnsi="Garamond" w:cs="Times New Roman"/>
          <w:bCs/>
          <w:sz w:val="24"/>
          <w:szCs w:val="24"/>
        </w:rPr>
        <w:t>In order t</w:t>
      </w:r>
      <w:r>
        <w:rPr>
          <w:rFonts w:ascii="Garamond" w:eastAsia="Times New Roman" w:hAnsi="Garamond" w:cs="Times New Roman"/>
          <w:bCs/>
          <w:sz w:val="24"/>
          <w:szCs w:val="24"/>
        </w:rPr>
        <w:t xml:space="preserve">o </w:t>
      </w:r>
      <w:r w:rsidR="00FC35BB">
        <w:rPr>
          <w:rFonts w:ascii="Garamond" w:eastAsia="Times New Roman" w:hAnsi="Garamond" w:cs="Times New Roman"/>
          <w:bCs/>
          <w:sz w:val="24"/>
          <w:szCs w:val="24"/>
        </w:rPr>
        <w:t>access</w:t>
      </w:r>
      <w:r>
        <w:rPr>
          <w:rFonts w:ascii="Garamond" w:eastAsia="Times New Roman" w:hAnsi="Garamond" w:cs="Times New Roman"/>
          <w:bCs/>
          <w:sz w:val="24"/>
          <w:szCs w:val="24"/>
        </w:rPr>
        <w:t xml:space="preserve"> further information that could not be found in </w:t>
      </w:r>
      <w:r w:rsidR="00FC35BB">
        <w:rPr>
          <w:rFonts w:ascii="Garamond" w:eastAsia="Times New Roman" w:hAnsi="Garamond" w:cs="Times New Roman"/>
          <w:bCs/>
          <w:sz w:val="24"/>
          <w:szCs w:val="24"/>
        </w:rPr>
        <w:t>such</w:t>
      </w:r>
      <w:r>
        <w:rPr>
          <w:rFonts w:ascii="Garamond" w:eastAsia="Times New Roman" w:hAnsi="Garamond" w:cs="Times New Roman"/>
          <w:bCs/>
          <w:sz w:val="24"/>
          <w:szCs w:val="24"/>
        </w:rPr>
        <w:t xml:space="preserve"> reports, available </w:t>
      </w:r>
      <w:r w:rsidRPr="00E214F6">
        <w:rPr>
          <w:rFonts w:ascii="Garamond" w:hAnsi="Garamond"/>
          <w:sz w:val="24"/>
          <w:szCs w:val="24"/>
        </w:rPr>
        <w:t>secondary source</w:t>
      </w:r>
      <w:r>
        <w:rPr>
          <w:rFonts w:ascii="Garamond" w:hAnsi="Garamond"/>
          <w:sz w:val="24"/>
          <w:szCs w:val="24"/>
        </w:rPr>
        <w:t xml:space="preserve">s have been considered as well, in the form of </w:t>
      </w:r>
      <w:r w:rsidRPr="00E214F6">
        <w:rPr>
          <w:rFonts w:ascii="Garamond" w:hAnsi="Garamond"/>
          <w:sz w:val="24"/>
          <w:szCs w:val="24"/>
        </w:rPr>
        <w:t>press releases, firms’ websites, newspapers</w:t>
      </w:r>
      <w:r>
        <w:rPr>
          <w:rFonts w:ascii="Garamond" w:hAnsi="Garamond"/>
          <w:sz w:val="24"/>
          <w:szCs w:val="24"/>
        </w:rPr>
        <w:t xml:space="preserve"> articles</w:t>
      </w:r>
      <w:r w:rsidRPr="00E214F6">
        <w:rPr>
          <w:rFonts w:ascii="Garamond" w:hAnsi="Garamond"/>
          <w:sz w:val="24"/>
          <w:szCs w:val="24"/>
        </w:rPr>
        <w:t>, white pa</w:t>
      </w:r>
      <w:r>
        <w:rPr>
          <w:rFonts w:ascii="Garamond" w:hAnsi="Garamond"/>
          <w:sz w:val="24"/>
          <w:szCs w:val="24"/>
        </w:rPr>
        <w:t xml:space="preserve">pers from consulting companies and </w:t>
      </w:r>
      <w:r w:rsidRPr="00E214F6">
        <w:rPr>
          <w:rFonts w:ascii="Garamond" w:hAnsi="Garamond"/>
          <w:sz w:val="24"/>
          <w:szCs w:val="24"/>
        </w:rPr>
        <w:t>specialized magazines</w:t>
      </w:r>
      <w:r>
        <w:rPr>
          <w:rFonts w:ascii="Garamond" w:hAnsi="Garamond"/>
          <w:sz w:val="24"/>
          <w:szCs w:val="24"/>
        </w:rPr>
        <w:t>. These sources were accounted for and selected according to their relevance and include the most important international business news</w:t>
      </w:r>
      <w:r w:rsidR="00FC35BB">
        <w:rPr>
          <w:rFonts w:ascii="Garamond" w:hAnsi="Garamond"/>
          <w:sz w:val="24"/>
          <w:szCs w:val="24"/>
        </w:rPr>
        <w:t xml:space="preserve"> </w:t>
      </w:r>
      <w:r w:rsidR="00FC35BB">
        <w:rPr>
          <w:rFonts w:ascii="Garamond" w:hAnsi="Garamond"/>
          <w:sz w:val="24"/>
          <w:szCs w:val="24"/>
        </w:rPr>
        <w:lastRenderedPageBreak/>
        <w:t>sources</w:t>
      </w:r>
      <w:r>
        <w:rPr>
          <w:rFonts w:ascii="Garamond" w:hAnsi="Garamond"/>
          <w:sz w:val="24"/>
          <w:szCs w:val="24"/>
        </w:rPr>
        <w:t xml:space="preserve">, including the Economist and Financial Times, and publications from top consulting firms, including Mc Kinsey and Boston Consulting Group.  </w:t>
      </w:r>
    </w:p>
    <w:p w14:paraId="7FB4560F" w14:textId="445676AF" w:rsidR="00142F60" w:rsidRDefault="00142F60" w:rsidP="00035C79">
      <w:pPr>
        <w:spacing w:before="120" w:after="120"/>
        <w:jc w:val="both"/>
        <w:rPr>
          <w:rFonts w:ascii="Garamond" w:eastAsia="Times New Roman" w:hAnsi="Garamond" w:cs="Times New Roman"/>
          <w:bCs/>
          <w:sz w:val="24"/>
          <w:szCs w:val="24"/>
        </w:rPr>
      </w:pPr>
    </w:p>
    <w:p w14:paraId="0C44467D" w14:textId="3F35CC9A" w:rsidR="00035C79" w:rsidRDefault="00E14FCF" w:rsidP="00035C79">
      <w:pPr>
        <w:spacing w:before="120" w:after="120"/>
        <w:jc w:val="center"/>
        <w:rPr>
          <w:rFonts w:ascii="Garamond" w:eastAsia="Times New Roman" w:hAnsi="Garamond" w:cs="Times New Roman"/>
          <w:bCs/>
          <w:sz w:val="24"/>
          <w:szCs w:val="24"/>
        </w:rPr>
      </w:pPr>
      <w:r w:rsidRPr="00E14FCF">
        <w:rPr>
          <w:noProof/>
          <w:lang w:eastAsia="zh-CN"/>
        </w:rPr>
        <w:t xml:space="preserve"> </w:t>
      </w:r>
      <w:r w:rsidR="004B236B">
        <w:rPr>
          <w:noProof/>
          <w:lang w:eastAsia="en-GB"/>
        </w:rPr>
        <w:drawing>
          <wp:inline distT="0" distB="0" distL="0" distR="0" wp14:anchorId="71715242" wp14:editId="3EB19D82">
            <wp:extent cx="2895600" cy="409566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097" cy="4106267"/>
                    </a:xfrm>
                    <a:prstGeom prst="rect">
                      <a:avLst/>
                    </a:prstGeom>
                    <a:noFill/>
                  </pic:spPr>
                </pic:pic>
              </a:graphicData>
            </a:graphic>
          </wp:inline>
        </w:drawing>
      </w:r>
      <w:bookmarkStart w:id="0" w:name="_GoBack"/>
      <w:bookmarkEnd w:id="0"/>
    </w:p>
    <w:p w14:paraId="3250DEE9" w14:textId="77777777" w:rsidR="00035C79" w:rsidRPr="003128D7" w:rsidRDefault="00035C79" w:rsidP="00035C79">
      <w:pPr>
        <w:spacing w:before="120" w:after="120"/>
        <w:jc w:val="center"/>
        <w:rPr>
          <w:rFonts w:ascii="Garamond" w:eastAsia="Times New Roman" w:hAnsi="Garamond" w:cs="Times New Roman"/>
          <w:bCs/>
        </w:rPr>
      </w:pPr>
      <w:r w:rsidRPr="003128D7">
        <w:rPr>
          <w:rFonts w:ascii="Garamond" w:eastAsia="Times New Roman" w:hAnsi="Garamond" w:cs="Times New Roman"/>
          <w:b/>
        </w:rPr>
        <w:t>Figure 1</w:t>
      </w:r>
      <w:r>
        <w:rPr>
          <w:rFonts w:ascii="Garamond" w:eastAsia="Times New Roman" w:hAnsi="Garamond" w:cs="Times New Roman"/>
          <w:bCs/>
          <w:sz w:val="24"/>
          <w:szCs w:val="24"/>
        </w:rPr>
        <w:t xml:space="preserve"> </w:t>
      </w:r>
      <w:r w:rsidRPr="003128D7">
        <w:rPr>
          <w:rFonts w:ascii="Garamond" w:eastAsia="Times New Roman" w:hAnsi="Garamond" w:cs="Times New Roman"/>
          <w:bCs/>
        </w:rPr>
        <w:t>– Flowchart of the methodology</w:t>
      </w:r>
    </w:p>
    <w:p w14:paraId="63845EA5" w14:textId="77777777" w:rsidR="00035C79" w:rsidRPr="00E214F6" w:rsidRDefault="00035C79" w:rsidP="00035C79">
      <w:pPr>
        <w:spacing w:before="120" w:after="120"/>
        <w:jc w:val="both"/>
        <w:rPr>
          <w:rFonts w:ascii="Garamond" w:eastAsia="Times New Roman" w:hAnsi="Garamond" w:cs="Times New Roman"/>
          <w:sz w:val="24"/>
          <w:szCs w:val="24"/>
        </w:rPr>
      </w:pPr>
    </w:p>
    <w:p w14:paraId="26FC73BB" w14:textId="77777777" w:rsidR="00035C79" w:rsidRPr="00B8179B" w:rsidRDefault="00035C79" w:rsidP="00B8179B">
      <w:pPr>
        <w:pStyle w:val="ListParagraph"/>
        <w:numPr>
          <w:ilvl w:val="1"/>
          <w:numId w:val="3"/>
        </w:numPr>
        <w:spacing w:before="120" w:after="120"/>
        <w:jc w:val="both"/>
        <w:rPr>
          <w:rFonts w:ascii="Garamond" w:eastAsia="Times New Roman" w:hAnsi="Garamond" w:cs="Times New Roman"/>
          <w:b/>
          <w:sz w:val="24"/>
          <w:szCs w:val="24"/>
        </w:rPr>
      </w:pPr>
      <w:r w:rsidRPr="00B8179B">
        <w:rPr>
          <w:rFonts w:ascii="Garamond" w:eastAsia="Times New Roman" w:hAnsi="Garamond" w:cs="Times New Roman"/>
          <w:i/>
          <w:sz w:val="24"/>
          <w:szCs w:val="24"/>
        </w:rPr>
        <w:t>Data collection</w:t>
      </w:r>
    </w:p>
    <w:p w14:paraId="3DF0885A" w14:textId="428DE699" w:rsidR="00035C79" w:rsidRDefault="00035C79" w:rsidP="00035C79">
      <w:pPr>
        <w:spacing w:before="120" w:after="120"/>
        <w:jc w:val="both"/>
        <w:rPr>
          <w:rFonts w:ascii="Garamond" w:eastAsia="Times New Roman" w:hAnsi="Garamond" w:cs="Times New Roman"/>
          <w:bCs/>
          <w:sz w:val="24"/>
          <w:szCs w:val="24"/>
        </w:rPr>
      </w:pPr>
      <w:r>
        <w:rPr>
          <w:rFonts w:ascii="Garamond" w:eastAsia="Times New Roman" w:hAnsi="Garamond" w:cs="Times New Roman"/>
          <w:bCs/>
          <w:sz w:val="24"/>
          <w:szCs w:val="24"/>
        </w:rPr>
        <w:t>During this phase</w:t>
      </w:r>
      <w:r w:rsidR="00FC35BB">
        <w:rPr>
          <w:rFonts w:ascii="Garamond" w:eastAsia="Times New Roman" w:hAnsi="Garamond" w:cs="Times New Roman"/>
          <w:bCs/>
          <w:sz w:val="24"/>
          <w:szCs w:val="24"/>
        </w:rPr>
        <w:t>,</w:t>
      </w:r>
      <w:r>
        <w:rPr>
          <w:rFonts w:ascii="Garamond" w:eastAsia="Times New Roman" w:hAnsi="Garamond" w:cs="Times New Roman"/>
          <w:bCs/>
          <w:sz w:val="24"/>
          <w:szCs w:val="24"/>
        </w:rPr>
        <w:t xml:space="preserve"> the collected </w:t>
      </w:r>
      <w:r w:rsidR="00FC35BB">
        <w:rPr>
          <w:rFonts w:ascii="Garamond" w:eastAsia="Times New Roman" w:hAnsi="Garamond" w:cs="Times New Roman"/>
          <w:bCs/>
          <w:sz w:val="24"/>
          <w:szCs w:val="24"/>
        </w:rPr>
        <w:t xml:space="preserve">reports </w:t>
      </w:r>
      <w:r>
        <w:rPr>
          <w:rFonts w:ascii="Garamond" w:eastAsia="Times New Roman" w:hAnsi="Garamond" w:cs="Times New Roman"/>
          <w:bCs/>
          <w:sz w:val="24"/>
          <w:szCs w:val="24"/>
        </w:rPr>
        <w:t>are analysed one by one, and the relevant information is</w:t>
      </w:r>
      <w:r w:rsidR="00222ABF">
        <w:rPr>
          <w:rFonts w:ascii="Garamond" w:eastAsia="Times New Roman" w:hAnsi="Garamond" w:cs="Times New Roman"/>
          <w:bCs/>
          <w:sz w:val="24"/>
          <w:szCs w:val="24"/>
        </w:rPr>
        <w:t xml:space="preserve"> extracted and organised in an E</w:t>
      </w:r>
      <w:r>
        <w:rPr>
          <w:rFonts w:ascii="Garamond" w:eastAsia="Times New Roman" w:hAnsi="Garamond" w:cs="Times New Roman"/>
          <w:bCs/>
          <w:sz w:val="24"/>
          <w:szCs w:val="24"/>
        </w:rPr>
        <w:t xml:space="preserve">xcel spreadsheet. </w:t>
      </w:r>
      <w:r w:rsidR="00FC35BB">
        <w:rPr>
          <w:rFonts w:ascii="Garamond" w:eastAsia="Times New Roman" w:hAnsi="Garamond" w:cs="Times New Roman"/>
          <w:bCs/>
          <w:sz w:val="24"/>
          <w:szCs w:val="24"/>
        </w:rPr>
        <w:t>In order t</w:t>
      </w:r>
      <w:r>
        <w:rPr>
          <w:rFonts w:ascii="Garamond" w:eastAsia="Times New Roman" w:hAnsi="Garamond" w:cs="Times New Roman"/>
          <w:bCs/>
          <w:sz w:val="24"/>
          <w:szCs w:val="24"/>
        </w:rPr>
        <w:t xml:space="preserve">o identify the relevant parts of the extracts, both some general keyword and also more specific ones have been selected, the former including Circular Economy and Circular Supply Chains or waste and the latter related more specifically to Circular Economy practices </w:t>
      </w:r>
      <w:r w:rsidR="00FC35BB">
        <w:rPr>
          <w:rFonts w:ascii="Garamond" w:eastAsia="Times New Roman" w:hAnsi="Garamond" w:cs="Times New Roman"/>
          <w:bCs/>
          <w:sz w:val="24"/>
          <w:szCs w:val="24"/>
        </w:rPr>
        <w:t>which</w:t>
      </w:r>
      <w:r>
        <w:rPr>
          <w:rFonts w:ascii="Garamond" w:eastAsia="Times New Roman" w:hAnsi="Garamond" w:cs="Times New Roman"/>
          <w:bCs/>
          <w:sz w:val="24"/>
          <w:szCs w:val="24"/>
        </w:rPr>
        <w:t xml:space="preserve"> are commo</w:t>
      </w:r>
      <w:r w:rsidR="00FC35BB">
        <w:rPr>
          <w:rFonts w:ascii="Garamond" w:eastAsia="Times New Roman" w:hAnsi="Garamond" w:cs="Times New Roman"/>
          <w:bCs/>
          <w:sz w:val="24"/>
          <w:szCs w:val="24"/>
        </w:rPr>
        <w:t xml:space="preserve">nly applied by organisations (such as, for instance, </w:t>
      </w:r>
      <w:r>
        <w:rPr>
          <w:rFonts w:ascii="Garamond" w:eastAsia="Times New Roman" w:hAnsi="Garamond" w:cs="Times New Roman"/>
          <w:bCs/>
          <w:sz w:val="24"/>
          <w:szCs w:val="24"/>
        </w:rPr>
        <w:t xml:space="preserve">reduce, reuse, recycle, recover, remanufacturing, </w:t>
      </w:r>
      <w:r w:rsidR="00FC35BB">
        <w:rPr>
          <w:rFonts w:ascii="Garamond" w:eastAsia="Times New Roman" w:hAnsi="Garamond" w:cs="Times New Roman"/>
          <w:bCs/>
          <w:sz w:val="24"/>
          <w:szCs w:val="24"/>
        </w:rPr>
        <w:t xml:space="preserve">redesign, </w:t>
      </w:r>
      <w:r>
        <w:rPr>
          <w:rFonts w:ascii="Garamond" w:eastAsia="Times New Roman" w:hAnsi="Garamond" w:cs="Times New Roman"/>
          <w:bCs/>
          <w:sz w:val="24"/>
          <w:szCs w:val="24"/>
        </w:rPr>
        <w:t>design for longevity</w:t>
      </w:r>
      <w:r w:rsidR="00FC35BB">
        <w:rPr>
          <w:rFonts w:ascii="Garamond" w:eastAsia="Times New Roman" w:hAnsi="Garamond" w:cs="Times New Roman"/>
          <w:bCs/>
          <w:sz w:val="24"/>
          <w:szCs w:val="24"/>
        </w:rPr>
        <w:t>)</w:t>
      </w:r>
      <w:r>
        <w:rPr>
          <w:rFonts w:ascii="Garamond" w:eastAsia="Times New Roman" w:hAnsi="Garamond" w:cs="Times New Roman"/>
          <w:bCs/>
          <w:sz w:val="24"/>
          <w:szCs w:val="24"/>
        </w:rPr>
        <w:t>.</w:t>
      </w:r>
    </w:p>
    <w:p w14:paraId="4FABC01B" w14:textId="64960523" w:rsidR="00035C79" w:rsidRDefault="00035C79" w:rsidP="00D0437C">
      <w:pPr>
        <w:spacing w:before="120" w:after="120"/>
        <w:jc w:val="both"/>
        <w:rPr>
          <w:rFonts w:ascii="Garamond" w:eastAsia="Times New Roman" w:hAnsi="Garamond" w:cs="Times New Roman"/>
          <w:bCs/>
          <w:sz w:val="24"/>
          <w:szCs w:val="24"/>
        </w:rPr>
      </w:pPr>
      <w:r>
        <w:rPr>
          <w:rFonts w:ascii="Garamond" w:eastAsia="Times New Roman" w:hAnsi="Garamond" w:cs="Times New Roman"/>
          <w:bCs/>
          <w:sz w:val="24"/>
          <w:szCs w:val="24"/>
        </w:rPr>
        <w:t>Both quantitative and qualitative measures</w:t>
      </w:r>
      <w:r w:rsidRPr="00B53032">
        <w:rPr>
          <w:rFonts w:ascii="Garamond" w:eastAsia="Times New Roman" w:hAnsi="Garamond" w:cs="Times New Roman"/>
          <w:bCs/>
          <w:sz w:val="24"/>
          <w:szCs w:val="24"/>
        </w:rPr>
        <w:t xml:space="preserve"> </w:t>
      </w:r>
      <w:r>
        <w:rPr>
          <w:rFonts w:ascii="Garamond" w:eastAsia="Times New Roman" w:hAnsi="Garamond" w:cs="Times New Roman"/>
          <w:bCs/>
          <w:sz w:val="24"/>
          <w:szCs w:val="24"/>
        </w:rPr>
        <w:t>will be gathered: on one side</w:t>
      </w:r>
      <w:r w:rsidR="00FC35BB">
        <w:rPr>
          <w:rFonts w:ascii="Garamond" w:eastAsia="Times New Roman" w:hAnsi="Garamond" w:cs="Times New Roman"/>
          <w:bCs/>
          <w:sz w:val="24"/>
          <w:szCs w:val="24"/>
        </w:rPr>
        <w:t>,</w:t>
      </w:r>
      <w:r>
        <w:rPr>
          <w:rFonts w:ascii="Garamond" w:eastAsia="Times New Roman" w:hAnsi="Garamond" w:cs="Times New Roman"/>
          <w:bCs/>
          <w:sz w:val="24"/>
          <w:szCs w:val="24"/>
        </w:rPr>
        <w:t xml:space="preserve"> the number of times a specific keyword </w:t>
      </w:r>
      <w:r w:rsidR="00DE5EBA">
        <w:rPr>
          <w:rFonts w:ascii="Garamond" w:eastAsia="Times New Roman" w:hAnsi="Garamond" w:cs="Times New Roman"/>
          <w:bCs/>
          <w:sz w:val="24"/>
          <w:szCs w:val="24"/>
        </w:rPr>
        <w:t>appears</w:t>
      </w:r>
      <w:r w:rsidR="00D0437C">
        <w:rPr>
          <w:rStyle w:val="CommentReference"/>
        </w:rPr>
        <w:t xml:space="preserve"> i</w:t>
      </w:r>
      <w:r>
        <w:rPr>
          <w:rFonts w:ascii="Garamond" w:eastAsia="Times New Roman" w:hAnsi="Garamond" w:cs="Times New Roman"/>
          <w:bCs/>
          <w:sz w:val="24"/>
          <w:szCs w:val="24"/>
        </w:rPr>
        <w:t>n a report, together with measures of density that take into account the length of the report; on the other side</w:t>
      </w:r>
      <w:r w:rsidR="00FC35BB">
        <w:rPr>
          <w:rFonts w:ascii="Garamond" w:eastAsia="Times New Roman" w:hAnsi="Garamond" w:cs="Times New Roman"/>
          <w:bCs/>
          <w:sz w:val="24"/>
          <w:szCs w:val="24"/>
        </w:rPr>
        <w:t>,</w:t>
      </w:r>
      <w:r>
        <w:rPr>
          <w:rFonts w:ascii="Garamond" w:eastAsia="Times New Roman" w:hAnsi="Garamond" w:cs="Times New Roman"/>
          <w:bCs/>
          <w:sz w:val="24"/>
          <w:szCs w:val="24"/>
        </w:rPr>
        <w:t xml:space="preserve"> the context in which the main keywords appear and the idea to which they are linked. </w:t>
      </w:r>
    </w:p>
    <w:p w14:paraId="0AF5BCBB" w14:textId="0992998F" w:rsidR="00035C79" w:rsidRDefault="00035C79" w:rsidP="00035C79">
      <w:pPr>
        <w:spacing w:before="120" w:after="120"/>
        <w:jc w:val="both"/>
        <w:rPr>
          <w:rFonts w:ascii="Garamond" w:hAnsi="Garamond"/>
          <w:sz w:val="24"/>
          <w:szCs w:val="24"/>
        </w:rPr>
      </w:pPr>
      <w:r>
        <w:rPr>
          <w:rFonts w:ascii="Garamond" w:eastAsia="Times New Roman" w:hAnsi="Garamond" w:cs="Times New Roman"/>
          <w:bCs/>
          <w:sz w:val="24"/>
          <w:szCs w:val="24"/>
        </w:rPr>
        <w:t xml:space="preserve">A third category of information </w:t>
      </w:r>
      <w:r w:rsidR="00222ABF">
        <w:rPr>
          <w:rFonts w:ascii="Garamond" w:eastAsia="Times New Roman" w:hAnsi="Garamond" w:cs="Times New Roman"/>
          <w:bCs/>
          <w:sz w:val="24"/>
          <w:szCs w:val="24"/>
        </w:rPr>
        <w:t xml:space="preserve">is </w:t>
      </w:r>
      <w:r>
        <w:rPr>
          <w:rFonts w:ascii="Garamond" w:eastAsia="Times New Roman" w:hAnsi="Garamond" w:cs="Times New Roman"/>
          <w:bCs/>
          <w:sz w:val="24"/>
          <w:szCs w:val="24"/>
        </w:rPr>
        <w:t>related to existing Circular Economy practices and projects.</w:t>
      </w:r>
      <w:r w:rsidR="00222ABF">
        <w:rPr>
          <w:rFonts w:ascii="Garamond" w:eastAsia="Times New Roman" w:hAnsi="Garamond" w:cs="Times New Roman"/>
          <w:bCs/>
          <w:sz w:val="24"/>
          <w:szCs w:val="24"/>
        </w:rPr>
        <w:t xml:space="preserve"> In order to</w:t>
      </w:r>
      <w:r>
        <w:rPr>
          <w:rFonts w:ascii="Garamond" w:hAnsi="Garamond"/>
          <w:sz w:val="24"/>
          <w:szCs w:val="24"/>
        </w:rPr>
        <w:t xml:space="preserve"> classify these applications we aim to use data coming also </w:t>
      </w:r>
      <w:r w:rsidRPr="00E214F6">
        <w:rPr>
          <w:rFonts w:ascii="Garamond" w:hAnsi="Garamond"/>
          <w:sz w:val="24"/>
          <w:szCs w:val="24"/>
        </w:rPr>
        <w:t>from secondary source</w:t>
      </w:r>
      <w:r>
        <w:rPr>
          <w:rFonts w:ascii="Garamond" w:hAnsi="Garamond"/>
          <w:sz w:val="24"/>
          <w:szCs w:val="24"/>
        </w:rPr>
        <w:t>s to integrate</w:t>
      </w:r>
      <w:r w:rsidRPr="00E214F6">
        <w:rPr>
          <w:rFonts w:ascii="Garamond" w:hAnsi="Garamond"/>
          <w:sz w:val="24"/>
          <w:szCs w:val="24"/>
        </w:rPr>
        <w:t xml:space="preserve"> </w:t>
      </w:r>
      <w:r>
        <w:rPr>
          <w:rFonts w:ascii="Garamond" w:hAnsi="Garamond"/>
          <w:sz w:val="24"/>
          <w:szCs w:val="24"/>
        </w:rPr>
        <w:t>further</w:t>
      </w:r>
      <w:r w:rsidRPr="00E214F6">
        <w:rPr>
          <w:rFonts w:ascii="Garamond" w:hAnsi="Garamond"/>
          <w:sz w:val="24"/>
          <w:szCs w:val="24"/>
        </w:rPr>
        <w:t xml:space="preserve"> dimensions</w:t>
      </w:r>
      <w:r>
        <w:rPr>
          <w:rFonts w:ascii="Garamond" w:hAnsi="Garamond"/>
          <w:sz w:val="24"/>
          <w:szCs w:val="24"/>
        </w:rPr>
        <w:t xml:space="preserve"> into the database</w:t>
      </w:r>
      <w:r w:rsidRPr="00E214F6">
        <w:rPr>
          <w:rFonts w:ascii="Garamond" w:hAnsi="Garamond"/>
          <w:sz w:val="24"/>
          <w:szCs w:val="24"/>
        </w:rPr>
        <w:t xml:space="preserve">, including the type of practice according to the </w:t>
      </w:r>
      <w:r>
        <w:rPr>
          <w:rFonts w:ascii="Garamond" w:hAnsi="Garamond"/>
          <w:sz w:val="24"/>
          <w:szCs w:val="24"/>
        </w:rPr>
        <w:t>Waste Hierarchy</w:t>
      </w:r>
      <w:r w:rsidRPr="00E214F6">
        <w:rPr>
          <w:rFonts w:ascii="Garamond" w:hAnsi="Garamond"/>
          <w:sz w:val="24"/>
          <w:szCs w:val="24"/>
        </w:rPr>
        <w:t xml:space="preserve"> </w:t>
      </w:r>
      <w:r>
        <w:rPr>
          <w:rFonts w:ascii="Garamond" w:hAnsi="Garamond"/>
          <w:sz w:val="24"/>
          <w:szCs w:val="24"/>
        </w:rPr>
        <w:t>F</w:t>
      </w:r>
      <w:r w:rsidRPr="00E214F6">
        <w:rPr>
          <w:rFonts w:ascii="Garamond" w:hAnsi="Garamond"/>
          <w:sz w:val="24"/>
          <w:szCs w:val="24"/>
        </w:rPr>
        <w:t>ramework</w:t>
      </w:r>
      <w:r>
        <w:rPr>
          <w:rFonts w:ascii="Garamond" w:hAnsi="Garamond"/>
          <w:sz w:val="24"/>
          <w:szCs w:val="24"/>
        </w:rPr>
        <w:t xml:space="preserve"> (</w:t>
      </w:r>
      <w:r w:rsidRPr="00FD7EC4">
        <w:rPr>
          <w:rFonts w:ascii="Garamond" w:hAnsi="Garamond"/>
          <w:color w:val="222222"/>
          <w:sz w:val="24"/>
          <w:szCs w:val="24"/>
        </w:rPr>
        <w:t>European Commission</w:t>
      </w:r>
      <w:r>
        <w:rPr>
          <w:rFonts w:ascii="Garamond" w:hAnsi="Garamond"/>
          <w:color w:val="222222"/>
          <w:sz w:val="24"/>
          <w:szCs w:val="24"/>
        </w:rPr>
        <w:t>, 2014</w:t>
      </w:r>
      <w:r>
        <w:rPr>
          <w:rFonts w:ascii="Garamond" w:hAnsi="Garamond"/>
          <w:sz w:val="24"/>
          <w:szCs w:val="24"/>
        </w:rPr>
        <w:t>)</w:t>
      </w:r>
      <w:r w:rsidRPr="00E214F6">
        <w:rPr>
          <w:rFonts w:ascii="Garamond" w:hAnsi="Garamond"/>
          <w:sz w:val="24"/>
          <w:szCs w:val="24"/>
        </w:rPr>
        <w:t>, the impact on performance</w:t>
      </w:r>
      <w:r>
        <w:rPr>
          <w:rFonts w:ascii="Garamond" w:hAnsi="Garamond"/>
          <w:sz w:val="24"/>
          <w:szCs w:val="24"/>
        </w:rPr>
        <w:t xml:space="preserve"> </w:t>
      </w:r>
      <w:r w:rsidR="00FC35BB">
        <w:rPr>
          <w:rFonts w:ascii="Garamond" w:hAnsi="Garamond"/>
          <w:sz w:val="24"/>
          <w:szCs w:val="24"/>
        </w:rPr>
        <w:t>(</w:t>
      </w:r>
      <w:r>
        <w:rPr>
          <w:rFonts w:ascii="Garamond" w:hAnsi="Garamond"/>
          <w:sz w:val="24"/>
          <w:szCs w:val="24"/>
        </w:rPr>
        <w:t>if reported</w:t>
      </w:r>
      <w:r w:rsidR="00FC35BB">
        <w:rPr>
          <w:rFonts w:ascii="Garamond" w:hAnsi="Garamond"/>
          <w:sz w:val="24"/>
          <w:szCs w:val="24"/>
        </w:rPr>
        <w:t>)</w:t>
      </w:r>
      <w:r w:rsidRPr="00E214F6">
        <w:rPr>
          <w:rFonts w:ascii="Garamond" w:hAnsi="Garamond"/>
          <w:sz w:val="24"/>
          <w:szCs w:val="24"/>
        </w:rPr>
        <w:t xml:space="preserve">, the </w:t>
      </w:r>
      <w:r>
        <w:rPr>
          <w:rFonts w:ascii="Garamond" w:hAnsi="Garamond"/>
          <w:sz w:val="24"/>
          <w:szCs w:val="24"/>
        </w:rPr>
        <w:t xml:space="preserve">presence of government incentives in the </w:t>
      </w:r>
      <w:r w:rsidR="00FC35BB">
        <w:rPr>
          <w:rFonts w:ascii="Garamond" w:hAnsi="Garamond"/>
          <w:sz w:val="24"/>
          <w:szCs w:val="24"/>
        </w:rPr>
        <w:t xml:space="preserve">given </w:t>
      </w:r>
      <w:r w:rsidRPr="00E214F6">
        <w:rPr>
          <w:rFonts w:ascii="Garamond" w:hAnsi="Garamond"/>
          <w:sz w:val="24"/>
          <w:szCs w:val="24"/>
        </w:rPr>
        <w:t xml:space="preserve">geographical context, the industry </w:t>
      </w:r>
      <w:r w:rsidRPr="00E214F6">
        <w:rPr>
          <w:rFonts w:ascii="Garamond" w:hAnsi="Garamond"/>
          <w:sz w:val="24"/>
          <w:szCs w:val="24"/>
        </w:rPr>
        <w:lastRenderedPageBreak/>
        <w:t>of implementation, the type of firm, the main driver</w:t>
      </w:r>
      <w:r>
        <w:rPr>
          <w:rFonts w:ascii="Garamond" w:hAnsi="Garamond"/>
          <w:sz w:val="24"/>
          <w:szCs w:val="24"/>
        </w:rPr>
        <w:t>s of the adoption, the expected results, the type of relationships in the supply chain and the type of ownership.</w:t>
      </w:r>
    </w:p>
    <w:p w14:paraId="1055FB26" w14:textId="77777777" w:rsidR="00B8179B" w:rsidRDefault="00B8179B" w:rsidP="00B8179B">
      <w:pPr>
        <w:spacing w:before="120" w:after="120"/>
        <w:jc w:val="both"/>
        <w:rPr>
          <w:rFonts w:ascii="Garamond" w:hAnsi="Garamond"/>
          <w:sz w:val="24"/>
          <w:szCs w:val="24"/>
        </w:rPr>
      </w:pPr>
    </w:p>
    <w:p w14:paraId="4D909089" w14:textId="77777777" w:rsidR="00035C79" w:rsidRPr="00B8179B" w:rsidRDefault="00035C79" w:rsidP="00B8179B">
      <w:pPr>
        <w:pStyle w:val="ListParagraph"/>
        <w:numPr>
          <w:ilvl w:val="1"/>
          <w:numId w:val="3"/>
        </w:numPr>
        <w:spacing w:before="120" w:after="120"/>
        <w:jc w:val="both"/>
        <w:rPr>
          <w:rFonts w:ascii="Garamond" w:eastAsia="Times New Roman" w:hAnsi="Garamond" w:cs="Times New Roman"/>
          <w:i/>
          <w:sz w:val="24"/>
          <w:szCs w:val="24"/>
        </w:rPr>
      </w:pPr>
      <w:r w:rsidRPr="00B8179B">
        <w:rPr>
          <w:rFonts w:ascii="Garamond" w:eastAsia="Times New Roman" w:hAnsi="Garamond" w:cs="Times New Roman"/>
          <w:i/>
          <w:sz w:val="24"/>
          <w:szCs w:val="24"/>
        </w:rPr>
        <w:t>Data analysis</w:t>
      </w:r>
    </w:p>
    <w:p w14:paraId="3E05A64B" w14:textId="15C45D93" w:rsidR="00035C79" w:rsidRDefault="00035C79" w:rsidP="00035C79">
      <w:pPr>
        <w:spacing w:before="120" w:after="120"/>
        <w:jc w:val="both"/>
        <w:rPr>
          <w:rFonts w:ascii="Garamond" w:eastAsia="Times New Roman" w:hAnsi="Garamond" w:cs="Times New Roman"/>
          <w:bCs/>
          <w:sz w:val="24"/>
          <w:szCs w:val="24"/>
        </w:rPr>
      </w:pPr>
      <w:r>
        <w:rPr>
          <w:rFonts w:ascii="Garamond" w:eastAsia="Times New Roman" w:hAnsi="Garamond" w:cs="Times New Roman"/>
          <w:sz w:val="24"/>
          <w:szCs w:val="24"/>
        </w:rPr>
        <w:t xml:space="preserve">The </w:t>
      </w:r>
      <w:r w:rsidRPr="00E214F6">
        <w:rPr>
          <w:rFonts w:ascii="Garamond" w:eastAsia="Times New Roman" w:hAnsi="Garamond" w:cs="Times New Roman"/>
          <w:sz w:val="24"/>
          <w:szCs w:val="24"/>
        </w:rPr>
        <w:t xml:space="preserve">final step will include a critical analysis of the </w:t>
      </w:r>
      <w:r>
        <w:rPr>
          <w:rFonts w:ascii="Garamond" w:eastAsia="Times New Roman" w:hAnsi="Garamond" w:cs="Times New Roman"/>
          <w:sz w:val="24"/>
          <w:szCs w:val="24"/>
        </w:rPr>
        <w:t>database</w:t>
      </w:r>
      <w:r w:rsidRPr="00E214F6">
        <w:rPr>
          <w:rFonts w:ascii="Garamond" w:eastAsia="Times New Roman" w:hAnsi="Garamond" w:cs="Times New Roman"/>
          <w:sz w:val="24"/>
          <w:szCs w:val="24"/>
        </w:rPr>
        <w:t>, aiming at summari</w:t>
      </w:r>
      <w:r w:rsidR="00FC35BB">
        <w:rPr>
          <w:rFonts w:ascii="Garamond" w:eastAsia="Times New Roman" w:hAnsi="Garamond" w:cs="Times New Roman"/>
          <w:sz w:val="24"/>
          <w:szCs w:val="24"/>
        </w:rPr>
        <w:t>s</w:t>
      </w:r>
      <w:r w:rsidRPr="00E214F6">
        <w:rPr>
          <w:rFonts w:ascii="Garamond" w:eastAsia="Times New Roman" w:hAnsi="Garamond" w:cs="Times New Roman"/>
          <w:sz w:val="24"/>
          <w:szCs w:val="24"/>
        </w:rPr>
        <w:t>ing the relevant findings an</w:t>
      </w:r>
      <w:r>
        <w:rPr>
          <w:rFonts w:ascii="Garamond" w:eastAsia="Times New Roman" w:hAnsi="Garamond" w:cs="Times New Roman"/>
          <w:sz w:val="24"/>
          <w:szCs w:val="24"/>
        </w:rPr>
        <w:t>d highlighting the key messages, f</w:t>
      </w:r>
      <w:r>
        <w:rPr>
          <w:rFonts w:ascii="Garamond" w:eastAsia="Times New Roman" w:hAnsi="Garamond" w:cs="Times New Roman"/>
          <w:bCs/>
          <w:sz w:val="24"/>
          <w:szCs w:val="24"/>
        </w:rPr>
        <w:t xml:space="preserve">inding an answer to the underlined research questions. This phase will also involve </w:t>
      </w:r>
      <w:r w:rsidR="00FC35BB">
        <w:rPr>
          <w:rFonts w:ascii="Garamond" w:eastAsia="Times New Roman" w:hAnsi="Garamond" w:cs="Times New Roman"/>
          <w:bCs/>
          <w:sz w:val="24"/>
          <w:szCs w:val="24"/>
        </w:rPr>
        <w:t xml:space="preserve">a synthetic </w:t>
      </w:r>
      <w:r>
        <w:rPr>
          <w:rFonts w:ascii="Garamond" w:eastAsia="Times New Roman" w:hAnsi="Garamond" w:cs="Times New Roman"/>
          <w:bCs/>
          <w:sz w:val="24"/>
          <w:szCs w:val="24"/>
        </w:rPr>
        <w:t xml:space="preserve">representation of the quantitative and qualitative data collected. </w:t>
      </w:r>
    </w:p>
    <w:p w14:paraId="79C972DE" w14:textId="626035A6" w:rsidR="00035C79" w:rsidRDefault="00035C79" w:rsidP="00DE5EBA">
      <w:pPr>
        <w:spacing w:before="120" w:after="120"/>
        <w:jc w:val="both"/>
        <w:rPr>
          <w:rFonts w:ascii="Garamond" w:eastAsia="Times New Roman" w:hAnsi="Garamond" w:cs="Times New Roman"/>
          <w:bCs/>
          <w:sz w:val="24"/>
          <w:szCs w:val="24"/>
        </w:rPr>
      </w:pPr>
      <w:r w:rsidRPr="009F2D07">
        <w:rPr>
          <w:rFonts w:ascii="Garamond" w:eastAsia="Times New Roman" w:hAnsi="Garamond" w:cs="Times New Roman"/>
          <w:bCs/>
          <w:sz w:val="24"/>
          <w:szCs w:val="24"/>
        </w:rPr>
        <w:t>The final objective will be to recogni</w:t>
      </w:r>
      <w:r>
        <w:rPr>
          <w:rFonts w:ascii="Garamond" w:eastAsia="Times New Roman" w:hAnsi="Garamond" w:cs="Times New Roman"/>
          <w:bCs/>
          <w:sz w:val="24"/>
          <w:szCs w:val="24"/>
        </w:rPr>
        <w:t>s</w:t>
      </w:r>
      <w:r w:rsidRPr="009F2D07">
        <w:rPr>
          <w:rFonts w:ascii="Garamond" w:eastAsia="Times New Roman" w:hAnsi="Garamond" w:cs="Times New Roman"/>
          <w:bCs/>
          <w:sz w:val="24"/>
          <w:szCs w:val="24"/>
        </w:rPr>
        <w:t>e</w:t>
      </w:r>
      <w:r>
        <w:rPr>
          <w:rFonts w:ascii="Garamond" w:eastAsia="Times New Roman" w:hAnsi="Garamond" w:cs="Times New Roman"/>
          <w:bCs/>
          <w:sz w:val="24"/>
          <w:szCs w:val="24"/>
        </w:rPr>
        <w:t xml:space="preserve"> existing</w:t>
      </w:r>
      <w:r w:rsidRPr="009F2D07">
        <w:rPr>
          <w:rFonts w:ascii="Garamond" w:eastAsia="Times New Roman" w:hAnsi="Garamond" w:cs="Times New Roman"/>
          <w:bCs/>
          <w:sz w:val="24"/>
          <w:szCs w:val="24"/>
        </w:rPr>
        <w:t xml:space="preserve"> trends in </w:t>
      </w:r>
      <w:r w:rsidR="00FC35BB">
        <w:rPr>
          <w:rFonts w:ascii="Garamond" w:eastAsia="Times New Roman" w:hAnsi="Garamond" w:cs="Times New Roman"/>
          <w:bCs/>
          <w:sz w:val="24"/>
          <w:szCs w:val="24"/>
        </w:rPr>
        <w:t xml:space="preserve">the way to </w:t>
      </w:r>
      <w:r>
        <w:rPr>
          <w:rFonts w:ascii="Garamond" w:eastAsia="Times New Roman" w:hAnsi="Garamond" w:cs="Times New Roman"/>
          <w:bCs/>
          <w:sz w:val="24"/>
          <w:szCs w:val="24"/>
        </w:rPr>
        <w:t>address Circular Economy principles in stakeholder communication, but also related to the</w:t>
      </w:r>
      <w:r w:rsidR="00FC35BB">
        <w:rPr>
          <w:rFonts w:ascii="Garamond" w:eastAsia="Times New Roman" w:hAnsi="Garamond" w:cs="Times New Roman"/>
          <w:bCs/>
          <w:sz w:val="24"/>
          <w:szCs w:val="24"/>
        </w:rPr>
        <w:t xml:space="preserve"> actual</w:t>
      </w:r>
      <w:r>
        <w:rPr>
          <w:rFonts w:ascii="Garamond" w:eastAsia="Times New Roman" w:hAnsi="Garamond" w:cs="Times New Roman"/>
          <w:bCs/>
          <w:sz w:val="24"/>
          <w:szCs w:val="24"/>
        </w:rPr>
        <w:t xml:space="preserve"> implementation of practices. On one side there will be an initial attempt to recognise</w:t>
      </w:r>
      <w:r w:rsidRPr="009F2D07">
        <w:rPr>
          <w:rFonts w:ascii="Garamond" w:eastAsia="Times New Roman" w:hAnsi="Garamond" w:cs="Times New Roman"/>
          <w:bCs/>
          <w:sz w:val="24"/>
          <w:szCs w:val="24"/>
        </w:rPr>
        <w:t xml:space="preserve"> </w:t>
      </w:r>
      <w:r>
        <w:rPr>
          <w:rFonts w:ascii="Garamond" w:eastAsia="Times New Roman" w:hAnsi="Garamond" w:cs="Times New Roman"/>
          <w:bCs/>
          <w:sz w:val="24"/>
          <w:szCs w:val="24"/>
        </w:rPr>
        <w:t xml:space="preserve">the industries or </w:t>
      </w:r>
      <w:r w:rsidRPr="009F2D07">
        <w:rPr>
          <w:rFonts w:ascii="Garamond" w:eastAsia="Times New Roman" w:hAnsi="Garamond" w:cs="Times New Roman"/>
          <w:bCs/>
          <w:sz w:val="24"/>
          <w:szCs w:val="24"/>
        </w:rPr>
        <w:t xml:space="preserve">the </w:t>
      </w:r>
      <w:r>
        <w:rPr>
          <w:rFonts w:ascii="Garamond" w:eastAsia="Times New Roman" w:hAnsi="Garamond" w:cs="Times New Roman"/>
          <w:bCs/>
          <w:sz w:val="24"/>
          <w:szCs w:val="24"/>
        </w:rPr>
        <w:t>regions</w:t>
      </w:r>
      <w:r w:rsidRPr="009F2D07">
        <w:rPr>
          <w:rFonts w:ascii="Garamond" w:eastAsia="Times New Roman" w:hAnsi="Garamond" w:cs="Times New Roman"/>
          <w:bCs/>
          <w:sz w:val="24"/>
          <w:szCs w:val="24"/>
        </w:rPr>
        <w:t xml:space="preserve"> </w:t>
      </w:r>
      <w:r>
        <w:rPr>
          <w:rFonts w:ascii="Garamond" w:eastAsia="Times New Roman" w:hAnsi="Garamond" w:cs="Times New Roman"/>
          <w:bCs/>
          <w:sz w:val="24"/>
          <w:szCs w:val="24"/>
        </w:rPr>
        <w:t>that made the most relevant progress</w:t>
      </w:r>
      <w:r w:rsidR="00FC35BB">
        <w:rPr>
          <w:rFonts w:ascii="Garamond" w:eastAsia="Times New Roman" w:hAnsi="Garamond" w:cs="Times New Roman"/>
          <w:bCs/>
          <w:sz w:val="24"/>
          <w:szCs w:val="24"/>
        </w:rPr>
        <w:t>es</w:t>
      </w:r>
      <w:r>
        <w:rPr>
          <w:rFonts w:ascii="Garamond" w:eastAsia="Times New Roman" w:hAnsi="Garamond" w:cs="Times New Roman"/>
          <w:bCs/>
          <w:sz w:val="24"/>
          <w:szCs w:val="24"/>
        </w:rPr>
        <w:t xml:space="preserve"> in the concrete transition towards the Circular Economy</w:t>
      </w:r>
      <w:r w:rsidR="00FC35BB">
        <w:rPr>
          <w:rFonts w:ascii="Garamond" w:eastAsia="Times New Roman" w:hAnsi="Garamond" w:cs="Times New Roman"/>
          <w:bCs/>
          <w:sz w:val="24"/>
          <w:szCs w:val="24"/>
        </w:rPr>
        <w:t>;</w:t>
      </w:r>
      <w:r>
        <w:rPr>
          <w:rFonts w:ascii="Garamond" w:eastAsia="Times New Roman" w:hAnsi="Garamond" w:cs="Times New Roman"/>
          <w:bCs/>
          <w:sz w:val="24"/>
          <w:szCs w:val="24"/>
        </w:rPr>
        <w:t xml:space="preserve"> </w:t>
      </w:r>
      <w:r w:rsidR="00FC35BB">
        <w:rPr>
          <w:rFonts w:ascii="Garamond" w:eastAsia="Times New Roman" w:hAnsi="Garamond" w:cs="Times New Roman"/>
          <w:bCs/>
          <w:sz w:val="24"/>
          <w:szCs w:val="24"/>
        </w:rPr>
        <w:t>o</w:t>
      </w:r>
      <w:r>
        <w:rPr>
          <w:rFonts w:ascii="Garamond" w:eastAsia="Times New Roman" w:hAnsi="Garamond" w:cs="Times New Roman"/>
          <w:bCs/>
          <w:sz w:val="24"/>
          <w:szCs w:val="24"/>
        </w:rPr>
        <w:t xml:space="preserve">n the other side, </w:t>
      </w:r>
      <w:r w:rsidRPr="009F2D07">
        <w:rPr>
          <w:rFonts w:ascii="Garamond" w:eastAsia="Times New Roman" w:hAnsi="Garamond" w:cs="Times New Roman"/>
          <w:bCs/>
          <w:sz w:val="24"/>
          <w:szCs w:val="24"/>
        </w:rPr>
        <w:t>the</w:t>
      </w:r>
      <w:r>
        <w:rPr>
          <w:rFonts w:ascii="Garamond" w:eastAsia="Times New Roman" w:hAnsi="Garamond" w:cs="Times New Roman"/>
          <w:bCs/>
          <w:sz w:val="24"/>
          <w:szCs w:val="24"/>
        </w:rPr>
        <w:t xml:space="preserve"> most commonly adopted</w:t>
      </w:r>
      <w:r w:rsidRPr="009F2D07">
        <w:rPr>
          <w:rFonts w:ascii="Garamond" w:eastAsia="Times New Roman" w:hAnsi="Garamond" w:cs="Times New Roman"/>
          <w:bCs/>
          <w:sz w:val="24"/>
          <w:szCs w:val="24"/>
        </w:rPr>
        <w:t xml:space="preserve"> </w:t>
      </w:r>
      <w:r>
        <w:rPr>
          <w:rFonts w:ascii="Garamond" w:eastAsia="Times New Roman" w:hAnsi="Garamond" w:cs="Times New Roman"/>
          <w:bCs/>
          <w:sz w:val="24"/>
          <w:szCs w:val="24"/>
        </w:rPr>
        <w:t>types of practice will be identified</w:t>
      </w:r>
      <w:r w:rsidRPr="009F2D07">
        <w:rPr>
          <w:rFonts w:ascii="Garamond" w:eastAsia="Times New Roman" w:hAnsi="Garamond" w:cs="Times New Roman"/>
          <w:bCs/>
          <w:sz w:val="24"/>
          <w:szCs w:val="24"/>
        </w:rPr>
        <w:t xml:space="preserve">, </w:t>
      </w:r>
      <w:r w:rsidR="00FC35BB">
        <w:rPr>
          <w:rFonts w:ascii="Garamond" w:eastAsia="Times New Roman" w:hAnsi="Garamond" w:cs="Times New Roman"/>
          <w:bCs/>
          <w:sz w:val="24"/>
          <w:szCs w:val="24"/>
        </w:rPr>
        <w:t xml:space="preserve">in order </w:t>
      </w:r>
      <w:r>
        <w:rPr>
          <w:rFonts w:ascii="Garamond" w:eastAsia="Times New Roman" w:hAnsi="Garamond" w:cs="Times New Roman"/>
          <w:bCs/>
          <w:sz w:val="24"/>
          <w:szCs w:val="24"/>
        </w:rPr>
        <w:t xml:space="preserve">to pinpoint which are the dominant implementation approaches and the main drivers for the adoption. </w:t>
      </w:r>
      <w:r w:rsidR="00FF6CFE">
        <w:rPr>
          <w:rFonts w:ascii="Garamond" w:eastAsia="Times New Roman" w:hAnsi="Garamond" w:cs="Times New Roman"/>
          <w:bCs/>
          <w:sz w:val="24"/>
          <w:szCs w:val="24"/>
        </w:rPr>
        <w:t>Data will be organised through</w:t>
      </w:r>
      <w:r w:rsidRPr="009F2D07">
        <w:rPr>
          <w:rFonts w:ascii="Garamond" w:eastAsia="Times New Roman" w:hAnsi="Garamond" w:cs="Times New Roman"/>
          <w:bCs/>
          <w:sz w:val="24"/>
          <w:szCs w:val="24"/>
        </w:rPr>
        <w:t xml:space="preserve"> classification dimensions </w:t>
      </w:r>
      <w:r w:rsidR="00FF6CFE">
        <w:rPr>
          <w:rFonts w:ascii="Garamond" w:eastAsia="Times New Roman" w:hAnsi="Garamond" w:cs="Times New Roman"/>
          <w:bCs/>
          <w:sz w:val="24"/>
          <w:szCs w:val="24"/>
        </w:rPr>
        <w:t>such as the ones reported in</w:t>
      </w:r>
      <w:r w:rsidRPr="009F2D07">
        <w:rPr>
          <w:rFonts w:ascii="Garamond" w:eastAsia="Times New Roman" w:hAnsi="Garamond" w:cs="Times New Roman"/>
          <w:bCs/>
          <w:sz w:val="24"/>
          <w:szCs w:val="24"/>
        </w:rPr>
        <w:t xml:space="preserve"> Table </w:t>
      </w:r>
      <w:r w:rsidR="00FF6CFE">
        <w:rPr>
          <w:rFonts w:ascii="Garamond" w:eastAsia="Times New Roman" w:hAnsi="Garamond" w:cs="Times New Roman"/>
          <w:bCs/>
          <w:sz w:val="24"/>
          <w:szCs w:val="24"/>
        </w:rPr>
        <w:t>1</w:t>
      </w:r>
      <w:r w:rsidRPr="009F2D07">
        <w:rPr>
          <w:rFonts w:ascii="Garamond" w:eastAsia="Times New Roman" w:hAnsi="Garamond" w:cs="Times New Roman"/>
          <w:bCs/>
          <w:sz w:val="24"/>
          <w:szCs w:val="24"/>
        </w:rPr>
        <w:t xml:space="preserve">.  </w:t>
      </w:r>
    </w:p>
    <w:p w14:paraId="4048B6DE" w14:textId="402A411B" w:rsidR="00035C79" w:rsidRDefault="00035C79" w:rsidP="00035C79">
      <w:pPr>
        <w:spacing w:before="120" w:after="120"/>
        <w:jc w:val="both"/>
        <w:rPr>
          <w:rFonts w:ascii="Garamond" w:eastAsia="Times New Roman" w:hAnsi="Garamond" w:cs="Times New Roman"/>
          <w:bCs/>
          <w:sz w:val="24"/>
          <w:szCs w:val="24"/>
        </w:rPr>
      </w:pPr>
    </w:p>
    <w:tbl>
      <w:tblPr>
        <w:tblW w:w="0" w:type="auto"/>
        <w:jc w:val="center"/>
        <w:tblCellMar>
          <w:left w:w="0" w:type="dxa"/>
          <w:right w:w="0" w:type="dxa"/>
        </w:tblCellMar>
        <w:tblLook w:val="04A0" w:firstRow="1" w:lastRow="0" w:firstColumn="1" w:lastColumn="0" w:noHBand="0" w:noVBand="1"/>
      </w:tblPr>
      <w:tblGrid>
        <w:gridCol w:w="4493"/>
        <w:gridCol w:w="4517"/>
      </w:tblGrid>
      <w:tr w:rsidR="005949AB" w:rsidRPr="00DE5EBA" w14:paraId="32749D3C"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4DC2AF"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Organization 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325F09" w14:textId="40E8F69B" w:rsidR="005949AB" w:rsidRPr="00DE5EBA" w:rsidRDefault="00D0437C" w:rsidP="005949AB">
            <w:pPr>
              <w:spacing w:before="120" w:line="240" w:lineRule="auto"/>
              <w:jc w:val="both"/>
              <w:rPr>
                <w:rFonts w:ascii="Garamond" w:eastAsia="Times New Roman" w:hAnsi="Garamond" w:cs="Times New Roman"/>
                <w:bCs/>
                <w:sz w:val="20"/>
                <w:szCs w:val="20"/>
              </w:rPr>
            </w:pPr>
            <w:r>
              <w:rPr>
                <w:rFonts w:ascii="Garamond" w:eastAsia="Times New Roman" w:hAnsi="Garamond" w:cs="Times New Roman"/>
                <w:bCs/>
                <w:sz w:val="20"/>
                <w:szCs w:val="20"/>
              </w:rPr>
              <w:t>Company A</w:t>
            </w:r>
          </w:p>
        </w:tc>
      </w:tr>
      <w:tr w:rsidR="005949AB" w:rsidRPr="00DE5EBA" w14:paraId="1FCAF10E"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7CE129"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Industry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D6A6D5"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Energy</w:t>
            </w:r>
            <w:r w:rsidRPr="00DE5EBA">
              <w:rPr>
                <w:rFonts w:ascii="Garamond" w:eastAsia="Times New Roman" w:hAnsi="Garamond" w:cs="Times New Roman"/>
                <w:bCs/>
                <w:sz w:val="20"/>
                <w:szCs w:val="20"/>
              </w:rPr>
              <w:br/>
              <w:t>Petroleum Refining</w:t>
            </w:r>
          </w:p>
        </w:tc>
      </w:tr>
      <w:tr w:rsidR="005949AB" w:rsidRPr="00DE5EBA" w14:paraId="3E5AE728"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D25DB3"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Country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617F3C"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The Netherlands</w:t>
            </w:r>
          </w:p>
        </w:tc>
      </w:tr>
      <w:tr w:rsidR="005949AB" w:rsidRPr="00DE5EBA" w14:paraId="55F7C6D5"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672249" w14:textId="17686CF8" w:rsidR="005949AB" w:rsidRPr="00DE5EBA" w:rsidRDefault="00C423F4" w:rsidP="005949AB">
            <w:pPr>
              <w:spacing w:before="120" w:line="240" w:lineRule="auto"/>
              <w:jc w:val="both"/>
              <w:rPr>
                <w:rFonts w:ascii="Garamond" w:eastAsia="Times New Roman" w:hAnsi="Garamond" w:cs="Times New Roman"/>
                <w:b/>
                <w:bCs/>
                <w:sz w:val="20"/>
                <w:szCs w:val="20"/>
              </w:rPr>
            </w:pPr>
            <w:r>
              <w:rPr>
                <w:rFonts w:ascii="Garamond" w:eastAsia="Times New Roman" w:hAnsi="Garamond" w:cs="Times New Roman"/>
                <w:b/>
                <w:bCs/>
                <w:sz w:val="20"/>
                <w:szCs w:val="20"/>
              </w:rPr>
              <w:t>Report analysed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9B0412" w14:textId="4A61FC88" w:rsidR="005949AB" w:rsidRPr="00DE5EBA" w:rsidRDefault="00D0437C" w:rsidP="00D0437C">
            <w:pPr>
              <w:spacing w:before="120" w:line="240" w:lineRule="auto"/>
              <w:jc w:val="both"/>
              <w:rPr>
                <w:rFonts w:ascii="Garamond" w:eastAsia="Times New Roman" w:hAnsi="Garamond" w:cs="Times New Roman"/>
                <w:bCs/>
                <w:sz w:val="20"/>
                <w:szCs w:val="20"/>
              </w:rPr>
            </w:pPr>
            <w:r>
              <w:rPr>
                <w:rFonts w:ascii="Garamond" w:eastAsia="Times New Roman" w:hAnsi="Garamond" w:cs="Times New Roman"/>
                <w:bCs/>
                <w:sz w:val="20"/>
                <w:szCs w:val="20"/>
              </w:rPr>
              <w:t>Sustainability Report 2018</w:t>
            </w:r>
          </w:p>
        </w:tc>
      </w:tr>
      <w:tr w:rsidR="005949AB" w:rsidRPr="00DE5EBA" w14:paraId="7222D2C5"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F5D578"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Year of the Report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0B35FC"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2018</w:t>
            </w:r>
          </w:p>
        </w:tc>
      </w:tr>
      <w:tr w:rsidR="005949AB" w:rsidRPr="00DE5EBA" w14:paraId="0709B639"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9F22A0"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Presence "Circular Economy" in the report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003BFA"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2</w:t>
            </w:r>
          </w:p>
        </w:tc>
      </w:tr>
      <w:tr w:rsidR="005949AB" w:rsidRPr="00DE5EBA" w14:paraId="29DCC62E"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6AAF58"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Presence of “R” principles in the report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D5885A"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Yes</w:t>
            </w:r>
          </w:p>
        </w:tc>
      </w:tr>
      <w:tr w:rsidR="005949AB" w:rsidRPr="00DE5EBA" w14:paraId="2FEACB56"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167C49"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Reduce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AAF0F5"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Yes</w:t>
            </w:r>
          </w:p>
        </w:tc>
      </w:tr>
      <w:tr w:rsidR="005949AB" w:rsidRPr="00DE5EBA" w14:paraId="19886EB4"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2F5729"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Reuse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2F9C36"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Yes</w:t>
            </w:r>
          </w:p>
        </w:tc>
      </w:tr>
      <w:tr w:rsidR="005949AB" w:rsidRPr="00DE5EBA" w14:paraId="2949F7F7"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0072F7"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Recycle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A47385C"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Yes</w:t>
            </w:r>
          </w:p>
        </w:tc>
      </w:tr>
      <w:tr w:rsidR="005949AB" w:rsidRPr="00DE5EBA" w14:paraId="480D6129"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4E184B"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Recover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06B2FD"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Yes</w:t>
            </w:r>
          </w:p>
        </w:tc>
      </w:tr>
      <w:tr w:rsidR="005949AB" w:rsidRPr="00DE5EBA" w14:paraId="18E5D276"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670FAFF" w14:textId="4B299B96" w:rsidR="005949AB" w:rsidRPr="00DE5EBA" w:rsidRDefault="005949AB" w:rsidP="005949AB">
            <w:pPr>
              <w:spacing w:before="120" w:line="240" w:lineRule="auto"/>
              <w:jc w:val="both"/>
              <w:rPr>
                <w:rFonts w:ascii="Garamond" w:eastAsia="Times New Roman" w:hAnsi="Garamond" w:cs="Times New Roman"/>
                <w:b/>
                <w:bCs/>
                <w:sz w:val="20"/>
                <w:szCs w:val="20"/>
              </w:rPr>
            </w:pPr>
            <w:r>
              <w:rPr>
                <w:rFonts w:ascii="Garamond" w:eastAsia="Times New Roman" w:hAnsi="Garamond" w:cs="Times New Roman"/>
                <w:b/>
                <w:bCs/>
                <w:sz w:val="20"/>
                <w:szCs w:val="20"/>
              </w:rPr>
              <w:t>Existence of CE practices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59BE4A" w14:textId="456C52A0" w:rsidR="005949AB" w:rsidRPr="00DE5EBA" w:rsidRDefault="005949AB" w:rsidP="005949AB">
            <w:pPr>
              <w:spacing w:before="120" w:line="240" w:lineRule="auto"/>
              <w:jc w:val="both"/>
              <w:rPr>
                <w:rFonts w:ascii="Garamond" w:eastAsia="Times New Roman" w:hAnsi="Garamond" w:cs="Times New Roman"/>
                <w:bCs/>
                <w:sz w:val="20"/>
                <w:szCs w:val="20"/>
              </w:rPr>
            </w:pPr>
            <w:r>
              <w:rPr>
                <w:rFonts w:ascii="Garamond" w:eastAsia="Times New Roman" w:hAnsi="Garamond" w:cs="Times New Roman"/>
                <w:bCs/>
                <w:sz w:val="20"/>
                <w:szCs w:val="20"/>
              </w:rPr>
              <w:t>Yes</w:t>
            </w:r>
          </w:p>
        </w:tc>
      </w:tr>
      <w:tr w:rsidR="005949AB" w:rsidRPr="00DE5EBA" w14:paraId="7DDFFC23"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70A60C"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Type of practice according to the Waste Hierarchy framework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9EF313"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Recycling</w:t>
            </w:r>
          </w:p>
        </w:tc>
      </w:tr>
      <w:tr w:rsidR="005949AB" w:rsidRPr="00DE5EBA" w14:paraId="19126468"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A025B4"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Main motives of adoption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D3528A" w14:textId="7D7811F1" w:rsidR="005949AB" w:rsidRPr="00DE5EBA" w:rsidRDefault="00FC35BB" w:rsidP="005949AB">
            <w:pPr>
              <w:spacing w:before="120" w:line="240" w:lineRule="auto"/>
              <w:jc w:val="both"/>
              <w:rPr>
                <w:rFonts w:ascii="Garamond" w:eastAsia="Times New Roman" w:hAnsi="Garamond" w:cs="Times New Roman"/>
                <w:bCs/>
                <w:sz w:val="20"/>
                <w:szCs w:val="20"/>
              </w:rPr>
            </w:pPr>
            <w:r>
              <w:rPr>
                <w:rFonts w:ascii="Garamond" w:eastAsia="Times New Roman" w:hAnsi="Garamond" w:cs="Times New Roman"/>
                <w:bCs/>
                <w:sz w:val="20"/>
                <w:szCs w:val="20"/>
              </w:rPr>
              <w:t>C</w:t>
            </w:r>
            <w:r w:rsidR="005949AB" w:rsidRPr="00DE5EBA">
              <w:rPr>
                <w:rFonts w:ascii="Garamond" w:eastAsia="Times New Roman" w:hAnsi="Garamond" w:cs="Times New Roman"/>
                <w:bCs/>
                <w:sz w:val="20"/>
                <w:szCs w:val="20"/>
              </w:rPr>
              <w:t>ompliance to regulation</w:t>
            </w:r>
          </w:p>
        </w:tc>
      </w:tr>
      <w:tr w:rsidR="005949AB" w:rsidRPr="00DE5EBA" w14:paraId="6CBFAEF5"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2F5F5B"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Expected results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69D93B"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w:t>
            </w:r>
          </w:p>
        </w:tc>
      </w:tr>
      <w:tr w:rsidR="005949AB" w:rsidRPr="00DE5EBA" w14:paraId="777EF381"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F10249"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Registered Impact on performance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F15CB8"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400,000 tonnes waste for recycling or reuse</w:t>
            </w:r>
          </w:p>
        </w:tc>
      </w:tr>
      <w:tr w:rsidR="005949AB" w:rsidRPr="00DE5EBA" w14:paraId="525ECCAB"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6EF623"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Presence/Absence of government Incentives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E5579C"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w:t>
            </w:r>
          </w:p>
        </w:tc>
      </w:tr>
      <w:tr w:rsidR="005949AB" w:rsidRPr="00DE5EBA" w14:paraId="33650E1B"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3418A2"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Presence/Absence of government Regulation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A1C73C"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Presence: A Circular Economy in the Netherlands by 2050</w:t>
            </w:r>
          </w:p>
        </w:tc>
      </w:tr>
      <w:tr w:rsidR="005949AB" w:rsidRPr="00DE5EBA" w14:paraId="1C8EA7AB"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0EBFD0" w14:textId="77777777"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lastRenderedPageBreak/>
              <w:t>Type of ownership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E1693B" w14:textId="77777777"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Private</w:t>
            </w:r>
          </w:p>
        </w:tc>
      </w:tr>
      <w:tr w:rsidR="005949AB" w:rsidRPr="00DE5EBA" w14:paraId="4B63E44E" w14:textId="77777777" w:rsidTr="00142F60">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FDA07B8" w14:textId="7D5C64F4" w:rsidR="005949AB" w:rsidRPr="00DE5EBA" w:rsidRDefault="005949AB" w:rsidP="005949AB">
            <w:pPr>
              <w:spacing w:before="120" w:line="240" w:lineRule="auto"/>
              <w:jc w:val="both"/>
              <w:rPr>
                <w:rFonts w:ascii="Garamond" w:eastAsia="Times New Roman" w:hAnsi="Garamond" w:cs="Times New Roman"/>
                <w:b/>
                <w:bCs/>
                <w:sz w:val="20"/>
                <w:szCs w:val="20"/>
              </w:rPr>
            </w:pPr>
            <w:r w:rsidRPr="00DE5EBA">
              <w:rPr>
                <w:rFonts w:ascii="Garamond" w:eastAsia="Times New Roman" w:hAnsi="Garamond" w:cs="Times New Roman"/>
                <w:b/>
                <w:bCs/>
                <w:sz w:val="20"/>
                <w:szCs w:val="20"/>
              </w:rPr>
              <w:t>Level of implementation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A66F8CF" w14:textId="5C99EEE2" w:rsidR="005949AB" w:rsidRPr="00DE5EBA" w:rsidRDefault="005949AB" w:rsidP="005949AB">
            <w:pPr>
              <w:spacing w:before="120" w:line="240" w:lineRule="auto"/>
              <w:jc w:val="both"/>
              <w:rPr>
                <w:rFonts w:ascii="Garamond" w:eastAsia="Times New Roman" w:hAnsi="Garamond" w:cs="Times New Roman"/>
                <w:bCs/>
                <w:sz w:val="20"/>
                <w:szCs w:val="20"/>
              </w:rPr>
            </w:pPr>
            <w:r w:rsidRPr="00DE5EBA">
              <w:rPr>
                <w:rFonts w:ascii="Garamond" w:eastAsia="Times New Roman" w:hAnsi="Garamond" w:cs="Times New Roman"/>
                <w:bCs/>
                <w:sz w:val="20"/>
                <w:szCs w:val="20"/>
              </w:rPr>
              <w:t>mainly gene</w:t>
            </w:r>
            <w:r>
              <w:rPr>
                <w:rFonts w:ascii="Garamond" w:eastAsia="Times New Roman" w:hAnsi="Garamond" w:cs="Times New Roman"/>
                <w:bCs/>
                <w:sz w:val="20"/>
                <w:szCs w:val="20"/>
              </w:rPr>
              <w:t>ral statements; little implement</w:t>
            </w:r>
            <w:r w:rsidRPr="00DE5EBA">
              <w:rPr>
                <w:rFonts w:ascii="Garamond" w:eastAsia="Times New Roman" w:hAnsi="Garamond" w:cs="Times New Roman"/>
                <w:bCs/>
                <w:sz w:val="20"/>
                <w:szCs w:val="20"/>
              </w:rPr>
              <w:t>ation of recycling practices</w:t>
            </w:r>
          </w:p>
        </w:tc>
      </w:tr>
    </w:tbl>
    <w:p w14:paraId="79C2C2EA" w14:textId="22E248FC" w:rsidR="00DE5EBA" w:rsidRDefault="00DE5EBA" w:rsidP="00DE5EBA">
      <w:pPr>
        <w:spacing w:before="120" w:after="120"/>
        <w:jc w:val="center"/>
        <w:rPr>
          <w:rFonts w:ascii="Garamond" w:eastAsia="Times New Roman" w:hAnsi="Garamond" w:cs="Times New Roman"/>
          <w:bCs/>
        </w:rPr>
      </w:pPr>
      <w:r>
        <w:rPr>
          <w:rFonts w:ascii="Garamond" w:eastAsia="Times New Roman" w:hAnsi="Garamond" w:cs="Times New Roman"/>
          <w:b/>
        </w:rPr>
        <w:t>Table</w:t>
      </w:r>
      <w:r w:rsidRPr="003128D7">
        <w:rPr>
          <w:rFonts w:ascii="Garamond" w:eastAsia="Times New Roman" w:hAnsi="Garamond" w:cs="Times New Roman"/>
          <w:b/>
        </w:rPr>
        <w:t xml:space="preserve"> 1</w:t>
      </w:r>
      <w:r>
        <w:rPr>
          <w:rFonts w:ascii="Garamond" w:eastAsia="Times New Roman" w:hAnsi="Garamond" w:cs="Times New Roman"/>
          <w:bCs/>
          <w:sz w:val="24"/>
          <w:szCs w:val="24"/>
        </w:rPr>
        <w:t xml:space="preserve"> </w:t>
      </w:r>
      <w:r w:rsidRPr="003128D7">
        <w:rPr>
          <w:rFonts w:ascii="Garamond" w:eastAsia="Times New Roman" w:hAnsi="Garamond" w:cs="Times New Roman"/>
          <w:bCs/>
        </w:rPr>
        <w:t xml:space="preserve">– </w:t>
      </w:r>
      <w:r w:rsidR="00706A3F">
        <w:rPr>
          <w:rFonts w:ascii="Garamond" w:eastAsia="Times New Roman" w:hAnsi="Garamond" w:cs="Times New Roman"/>
          <w:bCs/>
        </w:rPr>
        <w:t>Classification</w:t>
      </w:r>
      <w:r>
        <w:rPr>
          <w:rFonts w:ascii="Garamond" w:eastAsia="Times New Roman" w:hAnsi="Garamond" w:cs="Times New Roman"/>
          <w:bCs/>
        </w:rPr>
        <w:t xml:space="preserve"> </w:t>
      </w:r>
      <w:r w:rsidR="00A574F9">
        <w:rPr>
          <w:rFonts w:ascii="Garamond" w:eastAsia="Times New Roman" w:hAnsi="Garamond" w:cs="Times New Roman"/>
          <w:bCs/>
        </w:rPr>
        <w:t xml:space="preserve">dimensions </w:t>
      </w:r>
      <w:r>
        <w:rPr>
          <w:rFonts w:ascii="Garamond" w:eastAsia="Times New Roman" w:hAnsi="Garamond" w:cs="Times New Roman"/>
          <w:bCs/>
        </w:rPr>
        <w:t>of a CS Report</w:t>
      </w:r>
    </w:p>
    <w:p w14:paraId="5E169F52" w14:textId="77777777" w:rsidR="00142F60" w:rsidRPr="003128D7" w:rsidRDefault="00142F60" w:rsidP="00DE5EBA">
      <w:pPr>
        <w:spacing w:before="120" w:after="120"/>
        <w:jc w:val="center"/>
        <w:rPr>
          <w:rFonts w:ascii="Garamond" w:eastAsia="Times New Roman" w:hAnsi="Garamond" w:cs="Times New Roman"/>
          <w:bCs/>
        </w:rPr>
      </w:pPr>
    </w:p>
    <w:p w14:paraId="409C452E" w14:textId="77777777" w:rsidR="00035C79" w:rsidRPr="00B8179B" w:rsidRDefault="00035C79" w:rsidP="00B8179B">
      <w:pPr>
        <w:pStyle w:val="ListParagraph"/>
        <w:numPr>
          <w:ilvl w:val="0"/>
          <w:numId w:val="2"/>
        </w:numPr>
        <w:spacing w:before="120" w:after="120"/>
        <w:jc w:val="both"/>
        <w:rPr>
          <w:rFonts w:ascii="Garamond" w:eastAsia="Times New Roman" w:hAnsi="Garamond" w:cs="Times New Roman"/>
          <w:b/>
          <w:sz w:val="24"/>
          <w:szCs w:val="24"/>
        </w:rPr>
      </w:pPr>
      <w:r w:rsidRPr="00B8179B">
        <w:rPr>
          <w:rFonts w:ascii="Garamond" w:eastAsia="Times New Roman" w:hAnsi="Garamond" w:cs="Times New Roman"/>
          <w:b/>
          <w:sz w:val="24"/>
          <w:szCs w:val="24"/>
        </w:rPr>
        <w:t xml:space="preserve">Expected results </w:t>
      </w:r>
    </w:p>
    <w:p w14:paraId="73534F55" w14:textId="76713294" w:rsidR="00035C79" w:rsidRDefault="00FC4DC5" w:rsidP="00035C79">
      <w:pPr>
        <w:jc w:val="both"/>
        <w:rPr>
          <w:rFonts w:ascii="Garamond" w:hAnsi="Garamond"/>
          <w:sz w:val="24"/>
          <w:szCs w:val="24"/>
        </w:rPr>
      </w:pPr>
      <w:r>
        <w:rPr>
          <w:rFonts w:ascii="Garamond" w:hAnsi="Garamond"/>
          <w:sz w:val="24"/>
          <w:szCs w:val="24"/>
        </w:rPr>
        <w:t>The promulgation of the mentioned</w:t>
      </w:r>
      <w:r w:rsidR="00035C79">
        <w:rPr>
          <w:rFonts w:ascii="Garamond" w:hAnsi="Garamond"/>
          <w:sz w:val="24"/>
          <w:szCs w:val="24"/>
        </w:rPr>
        <w:t xml:space="preserve"> European </w:t>
      </w:r>
      <w:r>
        <w:rPr>
          <w:rFonts w:ascii="Garamond" w:hAnsi="Garamond"/>
          <w:sz w:val="24"/>
          <w:szCs w:val="24"/>
        </w:rPr>
        <w:t>di</w:t>
      </w:r>
      <w:r w:rsidR="00035C79">
        <w:rPr>
          <w:rFonts w:ascii="Garamond" w:hAnsi="Garamond"/>
          <w:sz w:val="24"/>
          <w:szCs w:val="24"/>
        </w:rPr>
        <w:t>rectives</w:t>
      </w:r>
      <w:r>
        <w:rPr>
          <w:rFonts w:ascii="Garamond" w:hAnsi="Garamond"/>
          <w:sz w:val="24"/>
          <w:szCs w:val="24"/>
        </w:rPr>
        <w:t xml:space="preserve">, and the emergence of a heated public debate have sparkled </w:t>
      </w:r>
      <w:r w:rsidR="00035C79">
        <w:rPr>
          <w:rFonts w:ascii="Garamond" w:hAnsi="Garamond"/>
          <w:sz w:val="24"/>
          <w:szCs w:val="24"/>
        </w:rPr>
        <w:t>an i</w:t>
      </w:r>
      <w:r w:rsidR="00035C79" w:rsidRPr="00202D5A">
        <w:rPr>
          <w:rFonts w:ascii="Garamond" w:hAnsi="Garamond"/>
          <w:sz w:val="24"/>
          <w:szCs w:val="24"/>
        </w:rPr>
        <w:t>ncreased</w:t>
      </w:r>
      <w:r w:rsidR="00035C79">
        <w:rPr>
          <w:rFonts w:ascii="Garamond" w:hAnsi="Garamond"/>
          <w:sz w:val="24"/>
          <w:szCs w:val="24"/>
        </w:rPr>
        <w:t xml:space="preserve"> interest of companies in integrating Circular Economy principles in their operations. </w:t>
      </w:r>
      <w:r>
        <w:rPr>
          <w:rFonts w:ascii="Garamond" w:hAnsi="Garamond"/>
          <w:sz w:val="24"/>
          <w:szCs w:val="24"/>
        </w:rPr>
        <w:t xml:space="preserve">Such interest </w:t>
      </w:r>
      <w:r w:rsidR="00035C79">
        <w:rPr>
          <w:rFonts w:ascii="Garamond" w:hAnsi="Garamond"/>
          <w:sz w:val="24"/>
          <w:szCs w:val="24"/>
        </w:rPr>
        <w:t>should also be followed by a better integration of Circular Economy concepts with their Sustainable Development strategy and especially with the UN framework of Sustainable Development Goals</w:t>
      </w:r>
      <w:r w:rsidR="00035C79">
        <w:rPr>
          <w:rStyle w:val="FootnoteReference"/>
          <w:rFonts w:ascii="Garamond" w:hAnsi="Garamond"/>
          <w:sz w:val="24"/>
          <w:szCs w:val="24"/>
        </w:rPr>
        <w:footnoteReference w:id="4"/>
      </w:r>
      <w:r w:rsidR="00035C79">
        <w:rPr>
          <w:rFonts w:ascii="Garamond" w:hAnsi="Garamond"/>
          <w:sz w:val="24"/>
          <w:szCs w:val="24"/>
        </w:rPr>
        <w:t xml:space="preserve">. </w:t>
      </w:r>
    </w:p>
    <w:p w14:paraId="5E176990" w14:textId="77777777" w:rsidR="00035C79" w:rsidRDefault="00035C79" w:rsidP="00035C79">
      <w:pPr>
        <w:jc w:val="both"/>
        <w:rPr>
          <w:rFonts w:ascii="Garamond" w:hAnsi="Garamond"/>
          <w:sz w:val="24"/>
          <w:szCs w:val="24"/>
        </w:rPr>
      </w:pPr>
    </w:p>
    <w:p w14:paraId="4339928D" w14:textId="584DD139" w:rsidR="00035C79" w:rsidRDefault="00035C79" w:rsidP="00035C79">
      <w:pPr>
        <w:jc w:val="both"/>
        <w:rPr>
          <w:rFonts w:ascii="Garamond" w:hAnsi="Garamond"/>
          <w:sz w:val="24"/>
          <w:szCs w:val="24"/>
        </w:rPr>
      </w:pPr>
      <w:r>
        <w:rPr>
          <w:rFonts w:ascii="Garamond" w:hAnsi="Garamond"/>
          <w:sz w:val="24"/>
          <w:szCs w:val="24"/>
        </w:rPr>
        <w:t>It is also expected that this increased interest and</w:t>
      </w:r>
      <w:r w:rsidRPr="00890D6E">
        <w:rPr>
          <w:rFonts w:ascii="Garamond" w:eastAsia="Times New Roman" w:hAnsi="Garamond" w:cs="Times New Roman"/>
          <w:bCs/>
          <w:sz w:val="24"/>
          <w:szCs w:val="24"/>
        </w:rPr>
        <w:t xml:space="preserve"> attention to the </w:t>
      </w:r>
      <w:r>
        <w:rPr>
          <w:rFonts w:ascii="Garamond" w:eastAsia="Times New Roman" w:hAnsi="Garamond" w:cs="Times New Roman"/>
          <w:bCs/>
          <w:sz w:val="24"/>
          <w:szCs w:val="24"/>
        </w:rPr>
        <w:t xml:space="preserve">principles goes along with an increased </w:t>
      </w:r>
      <w:r w:rsidR="00FC4DC5">
        <w:rPr>
          <w:rFonts w:ascii="Garamond" w:eastAsia="Times New Roman" w:hAnsi="Garamond" w:cs="Times New Roman"/>
          <w:bCs/>
          <w:sz w:val="24"/>
          <w:szCs w:val="24"/>
        </w:rPr>
        <w:t xml:space="preserve">amount of </w:t>
      </w:r>
      <w:r>
        <w:rPr>
          <w:rFonts w:ascii="Garamond" w:hAnsi="Garamond"/>
          <w:sz w:val="24"/>
          <w:szCs w:val="24"/>
        </w:rPr>
        <w:t>real</w:t>
      </w:r>
      <w:r w:rsidR="00FC4DC5">
        <w:rPr>
          <w:rFonts w:ascii="Garamond" w:hAnsi="Garamond"/>
          <w:sz w:val="24"/>
          <w:szCs w:val="24"/>
        </w:rPr>
        <w:t>-world</w:t>
      </w:r>
      <w:r>
        <w:rPr>
          <w:rFonts w:ascii="Garamond" w:hAnsi="Garamond"/>
          <w:sz w:val="24"/>
          <w:szCs w:val="24"/>
        </w:rPr>
        <w:t xml:space="preserve"> implementation</w:t>
      </w:r>
      <w:r w:rsidR="00FC4DC5">
        <w:rPr>
          <w:rFonts w:ascii="Garamond" w:hAnsi="Garamond"/>
          <w:sz w:val="24"/>
          <w:szCs w:val="24"/>
        </w:rPr>
        <w:t xml:space="preserve"> of Circular Economy practices</w:t>
      </w:r>
      <w:r>
        <w:rPr>
          <w:rFonts w:ascii="Garamond" w:hAnsi="Garamond"/>
          <w:sz w:val="24"/>
          <w:szCs w:val="24"/>
        </w:rPr>
        <w:t xml:space="preserve">. What should also be determined are the motives of adoption of Circular Economy practices, recognising whether </w:t>
      </w:r>
      <w:r w:rsidR="00FC4DC5">
        <w:rPr>
          <w:rFonts w:ascii="Garamond" w:hAnsi="Garamond"/>
          <w:sz w:val="24"/>
          <w:szCs w:val="24"/>
        </w:rPr>
        <w:t>this</w:t>
      </w:r>
      <w:r>
        <w:rPr>
          <w:rFonts w:ascii="Garamond" w:hAnsi="Garamond"/>
          <w:sz w:val="24"/>
          <w:szCs w:val="24"/>
        </w:rPr>
        <w:t xml:space="preserve"> is a matter of compliance with policy directives or if they are considered </w:t>
      </w:r>
      <w:r w:rsidR="00FC4DC5">
        <w:rPr>
          <w:rFonts w:ascii="Garamond" w:hAnsi="Garamond"/>
          <w:sz w:val="24"/>
          <w:szCs w:val="24"/>
        </w:rPr>
        <w:t>as economically</w:t>
      </w:r>
      <w:r>
        <w:rPr>
          <w:rFonts w:ascii="Garamond" w:hAnsi="Garamond"/>
          <w:sz w:val="24"/>
          <w:szCs w:val="24"/>
        </w:rPr>
        <w:t xml:space="preserve"> attractive initiatives with the potential of reducing costs and gaining new revenues, bringing an impact on the corporate performance.</w:t>
      </w:r>
    </w:p>
    <w:p w14:paraId="12B811E1" w14:textId="54953D53" w:rsidR="00035C79" w:rsidRDefault="00035C79" w:rsidP="00035C79">
      <w:pPr>
        <w:spacing w:before="120" w:after="120"/>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Another primary focus of the study is to determine the dominant approach in terms of implementation strategies, outlining </w:t>
      </w:r>
      <w:r>
        <w:rPr>
          <w:rFonts w:ascii="Garamond" w:hAnsi="Garamond"/>
          <w:sz w:val="24"/>
          <w:szCs w:val="24"/>
        </w:rPr>
        <w:t>the types of practice</w:t>
      </w:r>
      <w:r>
        <w:rPr>
          <w:rFonts w:ascii="Garamond" w:eastAsia="Times New Roman" w:hAnsi="Garamond" w:cs="Times New Roman"/>
          <w:bCs/>
          <w:sz w:val="24"/>
          <w:szCs w:val="24"/>
        </w:rPr>
        <w:t xml:space="preserve"> that are mostly adopted by large </w:t>
      </w:r>
      <w:r w:rsidR="00FC4DC5">
        <w:rPr>
          <w:rFonts w:ascii="Garamond" w:eastAsia="Times New Roman" w:hAnsi="Garamond" w:cs="Times New Roman"/>
          <w:bCs/>
          <w:sz w:val="24"/>
          <w:szCs w:val="24"/>
        </w:rPr>
        <w:t>organisations</w:t>
      </w:r>
      <w:r>
        <w:rPr>
          <w:rFonts w:ascii="Garamond" w:eastAsia="Times New Roman" w:hAnsi="Garamond" w:cs="Times New Roman"/>
          <w:bCs/>
          <w:sz w:val="24"/>
          <w:szCs w:val="24"/>
        </w:rPr>
        <w:t xml:space="preserve">. This will allow to establish whether </w:t>
      </w:r>
      <w:r w:rsidR="00FC4DC5">
        <w:rPr>
          <w:rFonts w:ascii="Garamond" w:eastAsia="Times New Roman" w:hAnsi="Garamond" w:cs="Times New Roman"/>
          <w:bCs/>
          <w:sz w:val="24"/>
          <w:szCs w:val="24"/>
        </w:rPr>
        <w:t>such</w:t>
      </w:r>
      <w:r>
        <w:rPr>
          <w:rFonts w:ascii="Garamond" w:eastAsia="Times New Roman" w:hAnsi="Garamond" w:cs="Times New Roman"/>
          <w:bCs/>
          <w:sz w:val="24"/>
          <w:szCs w:val="24"/>
        </w:rPr>
        <w:t xml:space="preserve"> </w:t>
      </w:r>
      <w:r w:rsidR="00FC4DC5">
        <w:rPr>
          <w:rFonts w:ascii="Garamond" w:eastAsia="Times New Roman" w:hAnsi="Garamond" w:cs="Times New Roman"/>
          <w:bCs/>
          <w:sz w:val="24"/>
          <w:szCs w:val="24"/>
        </w:rPr>
        <w:t>practices just</w:t>
      </w:r>
      <w:r>
        <w:rPr>
          <w:rFonts w:ascii="Garamond" w:eastAsia="Times New Roman" w:hAnsi="Garamond" w:cs="Times New Roman"/>
          <w:bCs/>
          <w:sz w:val="24"/>
          <w:szCs w:val="24"/>
        </w:rPr>
        <w:t xml:space="preserve"> </w:t>
      </w:r>
      <w:r w:rsidR="00FC4DC5">
        <w:rPr>
          <w:rFonts w:ascii="Garamond" w:eastAsia="Times New Roman" w:hAnsi="Garamond" w:cs="Times New Roman"/>
          <w:bCs/>
          <w:sz w:val="24"/>
          <w:szCs w:val="24"/>
        </w:rPr>
        <w:t xml:space="preserve">implement the basic elements of </w:t>
      </w:r>
      <w:r w:rsidR="00557B65">
        <w:rPr>
          <w:rFonts w:ascii="Garamond" w:eastAsia="Times New Roman" w:hAnsi="Garamond" w:cs="Times New Roman"/>
          <w:bCs/>
          <w:sz w:val="24"/>
          <w:szCs w:val="24"/>
        </w:rPr>
        <w:t xml:space="preserve">the </w:t>
      </w:r>
      <w:r w:rsidR="00FC4DC5">
        <w:rPr>
          <w:rFonts w:ascii="Garamond" w:eastAsia="Times New Roman" w:hAnsi="Garamond" w:cs="Times New Roman"/>
          <w:bCs/>
          <w:sz w:val="24"/>
          <w:szCs w:val="24"/>
        </w:rPr>
        <w:t xml:space="preserve">Circular Economy </w:t>
      </w:r>
      <w:r w:rsidR="00557B65">
        <w:rPr>
          <w:rFonts w:ascii="Garamond" w:eastAsia="Times New Roman" w:hAnsi="Garamond" w:cs="Times New Roman"/>
          <w:bCs/>
          <w:sz w:val="24"/>
          <w:szCs w:val="24"/>
        </w:rPr>
        <w:t xml:space="preserve">paradigm </w:t>
      </w:r>
      <w:r w:rsidR="00FC4DC5">
        <w:rPr>
          <w:rFonts w:ascii="Garamond" w:eastAsia="Times New Roman" w:hAnsi="Garamond" w:cs="Times New Roman"/>
          <w:bCs/>
          <w:sz w:val="24"/>
          <w:szCs w:val="24"/>
        </w:rPr>
        <w:t>(such as recycling and/or</w:t>
      </w:r>
      <w:r>
        <w:rPr>
          <w:rFonts w:ascii="Garamond" w:eastAsia="Times New Roman" w:hAnsi="Garamond" w:cs="Times New Roman"/>
          <w:bCs/>
          <w:sz w:val="24"/>
          <w:szCs w:val="24"/>
        </w:rPr>
        <w:t xml:space="preserve"> recovering waste streams generated by the current linear </w:t>
      </w:r>
      <w:r w:rsidR="00FC4DC5">
        <w:rPr>
          <w:rFonts w:ascii="Garamond" w:eastAsia="Times New Roman" w:hAnsi="Garamond" w:cs="Times New Roman"/>
          <w:bCs/>
          <w:sz w:val="24"/>
          <w:szCs w:val="24"/>
        </w:rPr>
        <w:t xml:space="preserve">production </w:t>
      </w:r>
      <w:r>
        <w:rPr>
          <w:rFonts w:ascii="Garamond" w:eastAsia="Times New Roman" w:hAnsi="Garamond" w:cs="Times New Roman"/>
          <w:bCs/>
          <w:sz w:val="24"/>
          <w:szCs w:val="24"/>
        </w:rPr>
        <w:t>system</w:t>
      </w:r>
      <w:r w:rsidR="00557B65">
        <w:rPr>
          <w:rFonts w:ascii="Garamond" w:eastAsia="Times New Roman" w:hAnsi="Garamond" w:cs="Times New Roman"/>
          <w:bCs/>
          <w:sz w:val="24"/>
          <w:szCs w:val="24"/>
        </w:rPr>
        <w:t xml:space="preserve">s), or, instead, they involve a deep </w:t>
      </w:r>
      <w:r>
        <w:rPr>
          <w:rFonts w:ascii="Garamond" w:eastAsia="Times New Roman" w:hAnsi="Garamond" w:cs="Times New Roman"/>
          <w:bCs/>
          <w:sz w:val="24"/>
          <w:szCs w:val="24"/>
        </w:rPr>
        <w:t xml:space="preserve">transformation of products and business models in order to </w:t>
      </w:r>
      <w:r w:rsidRPr="00AB0061">
        <w:rPr>
          <w:rFonts w:ascii="Garamond" w:eastAsia="Times New Roman" w:hAnsi="Garamond" w:cs="Times New Roman"/>
          <w:bCs/>
          <w:sz w:val="24"/>
          <w:szCs w:val="24"/>
        </w:rPr>
        <w:t xml:space="preserve">reduce </w:t>
      </w:r>
      <w:r w:rsidR="00F86A7C">
        <w:rPr>
          <w:rFonts w:ascii="Garamond" w:eastAsia="Times New Roman" w:hAnsi="Garamond" w:cs="Times New Roman"/>
          <w:bCs/>
          <w:sz w:val="24"/>
          <w:szCs w:val="24"/>
        </w:rPr>
        <w:t>w</w:t>
      </w:r>
      <w:r w:rsidRPr="00AB0061">
        <w:rPr>
          <w:rFonts w:ascii="Garamond" w:eastAsia="Times New Roman" w:hAnsi="Garamond" w:cs="Times New Roman"/>
          <w:bCs/>
          <w:sz w:val="24"/>
          <w:szCs w:val="24"/>
        </w:rPr>
        <w:t>aste streams</w:t>
      </w:r>
      <w:r>
        <w:rPr>
          <w:rFonts w:ascii="Garamond" w:eastAsia="Times New Roman" w:hAnsi="Garamond" w:cs="Times New Roman"/>
          <w:bCs/>
          <w:sz w:val="24"/>
          <w:szCs w:val="24"/>
        </w:rPr>
        <w:t xml:space="preserve"> and resource consumption</w:t>
      </w:r>
      <w:r w:rsidR="00557B65">
        <w:rPr>
          <w:rFonts w:ascii="Garamond" w:eastAsia="Times New Roman" w:hAnsi="Garamond" w:cs="Times New Roman"/>
          <w:bCs/>
          <w:sz w:val="24"/>
          <w:szCs w:val="24"/>
        </w:rPr>
        <w:t xml:space="preserve"> altogether</w:t>
      </w:r>
      <w:r>
        <w:rPr>
          <w:rFonts w:ascii="Garamond" w:eastAsia="Times New Roman" w:hAnsi="Garamond" w:cs="Times New Roman"/>
          <w:bCs/>
          <w:sz w:val="24"/>
          <w:szCs w:val="24"/>
        </w:rPr>
        <w:t xml:space="preserve">. In other words, if the main focus </w:t>
      </w:r>
      <w:r w:rsidR="00557B65">
        <w:rPr>
          <w:rFonts w:ascii="Garamond" w:eastAsia="Times New Roman" w:hAnsi="Garamond" w:cs="Times New Roman"/>
          <w:bCs/>
          <w:sz w:val="24"/>
          <w:szCs w:val="24"/>
        </w:rPr>
        <w:t xml:space="preserve">of such practices </w:t>
      </w:r>
      <w:r>
        <w:rPr>
          <w:rFonts w:ascii="Garamond" w:eastAsia="Times New Roman" w:hAnsi="Garamond" w:cs="Times New Roman"/>
          <w:bCs/>
          <w:sz w:val="24"/>
          <w:szCs w:val="24"/>
        </w:rPr>
        <w:t xml:space="preserve">is on the symptoms of the established development model, or if it is acting on the root of the problem. </w:t>
      </w:r>
    </w:p>
    <w:p w14:paraId="792218CF" w14:textId="3227EA76" w:rsidR="00C328B2" w:rsidRDefault="00557B65" w:rsidP="00035C79">
      <w:pPr>
        <w:spacing w:before="120" w:after="120"/>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Future steps of this research might also look at </w:t>
      </w:r>
      <w:r w:rsidR="00C328B2">
        <w:rPr>
          <w:rFonts w:ascii="Garamond" w:eastAsia="Times New Roman" w:hAnsi="Garamond" w:cs="Times New Roman"/>
          <w:bCs/>
          <w:sz w:val="24"/>
          <w:szCs w:val="24"/>
        </w:rPr>
        <w:t>extending the study to a broader set of companies or geographical areas.</w:t>
      </w:r>
    </w:p>
    <w:p w14:paraId="3A92925F" w14:textId="77777777" w:rsidR="00035C79" w:rsidRDefault="00035C79" w:rsidP="00035C79">
      <w:pPr>
        <w:spacing w:before="120" w:after="120"/>
        <w:jc w:val="both"/>
        <w:rPr>
          <w:rFonts w:ascii="Garamond" w:eastAsia="Times New Roman" w:hAnsi="Garamond" w:cs="Times New Roman"/>
          <w:bCs/>
          <w:sz w:val="24"/>
          <w:szCs w:val="24"/>
        </w:rPr>
      </w:pPr>
    </w:p>
    <w:p w14:paraId="240611BE" w14:textId="77777777" w:rsidR="00035C79" w:rsidRPr="00EA1E87" w:rsidRDefault="00035C79" w:rsidP="00035C79">
      <w:pPr>
        <w:spacing w:before="120" w:after="120"/>
        <w:jc w:val="both"/>
        <w:rPr>
          <w:rFonts w:ascii="Garamond" w:eastAsia="Times New Roman" w:hAnsi="Garamond" w:cs="Times New Roman"/>
          <w:b/>
          <w:sz w:val="24"/>
          <w:szCs w:val="24"/>
        </w:rPr>
      </w:pPr>
      <w:r w:rsidRPr="00EA1E87">
        <w:rPr>
          <w:rFonts w:ascii="Garamond" w:eastAsia="Times New Roman" w:hAnsi="Garamond" w:cs="Times New Roman"/>
          <w:b/>
          <w:sz w:val="24"/>
          <w:szCs w:val="24"/>
        </w:rPr>
        <w:t>References</w:t>
      </w:r>
    </w:p>
    <w:p w14:paraId="17E36797" w14:textId="77777777" w:rsidR="00035C79" w:rsidRPr="00EA1E87" w:rsidRDefault="00035C79" w:rsidP="00035C79">
      <w:pPr>
        <w:ind w:left="720" w:hanging="720"/>
        <w:jc w:val="both"/>
        <w:rPr>
          <w:rFonts w:ascii="Garamond" w:hAnsi="Garamond"/>
          <w:color w:val="222222"/>
          <w:sz w:val="24"/>
          <w:szCs w:val="24"/>
          <w:highlight w:val="white"/>
        </w:rPr>
      </w:pPr>
      <w:r w:rsidRPr="00EA1E87">
        <w:rPr>
          <w:rFonts w:ascii="Garamond" w:hAnsi="Garamond"/>
          <w:color w:val="222222"/>
          <w:sz w:val="24"/>
          <w:szCs w:val="24"/>
        </w:rPr>
        <w:t>Bjørn, A., Bey, N., Georg, S., Røpke, I., &amp; Hauschild, M. Z. (2017). Is Earth recognized as a finite system in corporate responsibility reporting?. Journal of Cleaner Production, 163, 106-117.</w:t>
      </w:r>
    </w:p>
    <w:p w14:paraId="0A09BCDD" w14:textId="77777777" w:rsidR="00035C79" w:rsidRDefault="00035C79" w:rsidP="00035C79">
      <w:pPr>
        <w:ind w:left="720" w:hanging="720"/>
        <w:jc w:val="both"/>
        <w:rPr>
          <w:rFonts w:ascii="Garamond" w:hAnsi="Garamond"/>
          <w:color w:val="222222"/>
          <w:sz w:val="24"/>
          <w:szCs w:val="24"/>
        </w:rPr>
      </w:pPr>
      <w:r w:rsidRPr="00896C0D">
        <w:rPr>
          <w:rFonts w:ascii="Garamond" w:hAnsi="Garamond"/>
          <w:color w:val="222222"/>
          <w:sz w:val="24"/>
          <w:szCs w:val="24"/>
        </w:rPr>
        <w:t>E</w:t>
      </w:r>
      <w:r>
        <w:rPr>
          <w:rFonts w:ascii="Garamond" w:hAnsi="Garamond"/>
          <w:color w:val="222222"/>
          <w:sz w:val="24"/>
          <w:szCs w:val="24"/>
        </w:rPr>
        <w:t xml:space="preserve">uropean </w:t>
      </w:r>
      <w:r w:rsidRPr="00896C0D">
        <w:rPr>
          <w:rFonts w:ascii="Garamond" w:hAnsi="Garamond"/>
          <w:color w:val="222222"/>
          <w:sz w:val="24"/>
          <w:szCs w:val="24"/>
        </w:rPr>
        <w:t>C</w:t>
      </w:r>
      <w:r>
        <w:rPr>
          <w:rFonts w:ascii="Garamond" w:hAnsi="Garamond"/>
          <w:color w:val="222222"/>
          <w:sz w:val="24"/>
          <w:szCs w:val="24"/>
        </w:rPr>
        <w:t>ommission</w:t>
      </w:r>
      <w:r w:rsidRPr="00896C0D">
        <w:rPr>
          <w:rFonts w:ascii="Garamond" w:hAnsi="Garamond"/>
          <w:color w:val="222222"/>
          <w:sz w:val="24"/>
          <w:szCs w:val="24"/>
        </w:rPr>
        <w:t xml:space="preserve"> </w:t>
      </w:r>
      <w:r>
        <w:rPr>
          <w:rFonts w:ascii="Garamond" w:hAnsi="Garamond"/>
          <w:color w:val="222222"/>
          <w:sz w:val="24"/>
          <w:szCs w:val="24"/>
        </w:rPr>
        <w:t>(2008</w:t>
      </w:r>
      <w:r w:rsidRPr="00896C0D">
        <w:rPr>
          <w:rFonts w:ascii="Garamond" w:hAnsi="Garamond"/>
          <w:color w:val="222222"/>
          <w:sz w:val="24"/>
          <w:szCs w:val="24"/>
        </w:rPr>
        <w:t xml:space="preserve">). Communication from the Commission to the European Parliament, the Council, the European Economic and Social Committee and the Committee of the Regions. </w:t>
      </w:r>
      <w:r w:rsidRPr="00CE5548">
        <w:rPr>
          <w:rFonts w:ascii="Garamond" w:hAnsi="Garamond"/>
          <w:color w:val="222222"/>
          <w:sz w:val="24"/>
          <w:szCs w:val="24"/>
        </w:rPr>
        <w:t>on waste and repealing certain Directives</w:t>
      </w:r>
      <w:r w:rsidRPr="00896C0D">
        <w:rPr>
          <w:rFonts w:ascii="Garamond" w:hAnsi="Garamond"/>
          <w:color w:val="222222"/>
          <w:sz w:val="24"/>
          <w:szCs w:val="24"/>
        </w:rPr>
        <w:t>.COM (</w:t>
      </w:r>
      <w:r>
        <w:rPr>
          <w:rFonts w:ascii="Garamond" w:hAnsi="Garamond"/>
          <w:color w:val="222222"/>
          <w:sz w:val="24"/>
          <w:szCs w:val="24"/>
        </w:rPr>
        <w:t xml:space="preserve">2008) </w:t>
      </w:r>
      <w:r w:rsidRPr="00896C0D">
        <w:rPr>
          <w:rFonts w:ascii="Garamond" w:hAnsi="Garamond"/>
          <w:color w:val="222222"/>
          <w:sz w:val="24"/>
          <w:szCs w:val="24"/>
        </w:rPr>
        <w:t>Brussels, Belgium.</w:t>
      </w:r>
    </w:p>
    <w:p w14:paraId="329F15D2" w14:textId="77777777" w:rsidR="00035C79" w:rsidRDefault="00035C79" w:rsidP="00035C79">
      <w:pPr>
        <w:ind w:left="720" w:hanging="720"/>
        <w:jc w:val="both"/>
        <w:rPr>
          <w:rFonts w:ascii="Garamond" w:hAnsi="Garamond"/>
          <w:color w:val="222222"/>
          <w:sz w:val="24"/>
          <w:szCs w:val="24"/>
        </w:rPr>
      </w:pPr>
      <w:r w:rsidRPr="00896C0D">
        <w:rPr>
          <w:rFonts w:ascii="Garamond" w:hAnsi="Garamond"/>
          <w:color w:val="222222"/>
          <w:sz w:val="24"/>
          <w:szCs w:val="24"/>
        </w:rPr>
        <w:t>E</w:t>
      </w:r>
      <w:r>
        <w:rPr>
          <w:rFonts w:ascii="Garamond" w:hAnsi="Garamond"/>
          <w:color w:val="222222"/>
          <w:sz w:val="24"/>
          <w:szCs w:val="24"/>
        </w:rPr>
        <w:t xml:space="preserve">uropean </w:t>
      </w:r>
      <w:r w:rsidRPr="00896C0D">
        <w:rPr>
          <w:rFonts w:ascii="Garamond" w:hAnsi="Garamond"/>
          <w:color w:val="222222"/>
          <w:sz w:val="24"/>
          <w:szCs w:val="24"/>
        </w:rPr>
        <w:t>C</w:t>
      </w:r>
      <w:r>
        <w:rPr>
          <w:rFonts w:ascii="Garamond" w:hAnsi="Garamond"/>
          <w:color w:val="222222"/>
          <w:sz w:val="24"/>
          <w:szCs w:val="24"/>
        </w:rPr>
        <w:t>ommission</w:t>
      </w:r>
      <w:r w:rsidRPr="00896C0D">
        <w:rPr>
          <w:rFonts w:ascii="Garamond" w:hAnsi="Garamond"/>
          <w:color w:val="222222"/>
          <w:sz w:val="24"/>
          <w:szCs w:val="24"/>
        </w:rPr>
        <w:t xml:space="preserve"> (2014). Communication from the Commission to the European Parliament, the Council, the European Economic and Social Committee and the </w:t>
      </w:r>
      <w:r w:rsidRPr="00896C0D">
        <w:rPr>
          <w:rFonts w:ascii="Garamond" w:hAnsi="Garamond"/>
          <w:color w:val="222222"/>
          <w:sz w:val="24"/>
          <w:szCs w:val="24"/>
        </w:rPr>
        <w:lastRenderedPageBreak/>
        <w:t>Committee of the Regions. Towards a circular economy: A zero waste programme for Europe. COM (2014) 398 final. Brussels, Belgium.</w:t>
      </w:r>
    </w:p>
    <w:p w14:paraId="1C14E139" w14:textId="77777777" w:rsidR="00035C79" w:rsidRPr="00896C0D" w:rsidRDefault="00035C79" w:rsidP="00035C79">
      <w:pPr>
        <w:ind w:left="720" w:hanging="720"/>
        <w:jc w:val="both"/>
        <w:rPr>
          <w:rFonts w:ascii="Garamond" w:hAnsi="Garamond"/>
          <w:color w:val="222222"/>
          <w:sz w:val="24"/>
          <w:szCs w:val="24"/>
        </w:rPr>
      </w:pPr>
      <w:r w:rsidRPr="00896C0D">
        <w:rPr>
          <w:rFonts w:ascii="Garamond" w:hAnsi="Garamond"/>
          <w:color w:val="222222"/>
          <w:sz w:val="24"/>
          <w:szCs w:val="24"/>
        </w:rPr>
        <w:t>E</w:t>
      </w:r>
      <w:r>
        <w:rPr>
          <w:rFonts w:ascii="Garamond" w:hAnsi="Garamond"/>
          <w:color w:val="222222"/>
          <w:sz w:val="24"/>
          <w:szCs w:val="24"/>
        </w:rPr>
        <w:t xml:space="preserve">uropean </w:t>
      </w:r>
      <w:r w:rsidRPr="00896C0D">
        <w:rPr>
          <w:rFonts w:ascii="Garamond" w:hAnsi="Garamond"/>
          <w:color w:val="222222"/>
          <w:sz w:val="24"/>
          <w:szCs w:val="24"/>
        </w:rPr>
        <w:t>C</w:t>
      </w:r>
      <w:r>
        <w:rPr>
          <w:rFonts w:ascii="Garamond" w:hAnsi="Garamond"/>
          <w:color w:val="222222"/>
          <w:sz w:val="24"/>
          <w:szCs w:val="24"/>
        </w:rPr>
        <w:t>ommission</w:t>
      </w:r>
      <w:r w:rsidRPr="00896C0D">
        <w:rPr>
          <w:rFonts w:ascii="Garamond" w:hAnsi="Garamond"/>
          <w:color w:val="222222"/>
          <w:sz w:val="24"/>
          <w:szCs w:val="24"/>
        </w:rPr>
        <w:t xml:space="preserve"> (2015). Communication from the Commission to the European Parliament, the Council, the European Economic and Social Committee and the Committee of the Regions. Closing the loop </w:t>
      </w:r>
      <w:r w:rsidRPr="00896C0D">
        <w:rPr>
          <w:rFonts w:ascii="Times New Roman" w:hAnsi="Times New Roman" w:cs="Times New Roman"/>
          <w:color w:val="222222"/>
          <w:sz w:val="24"/>
          <w:szCs w:val="24"/>
        </w:rPr>
        <w:t>‐</w:t>
      </w:r>
      <w:r w:rsidRPr="00896C0D">
        <w:rPr>
          <w:rFonts w:ascii="Garamond" w:hAnsi="Garamond"/>
          <w:color w:val="222222"/>
          <w:sz w:val="24"/>
          <w:szCs w:val="24"/>
        </w:rPr>
        <w:t xml:space="preserve"> An EU action plan for the Circular Economy.COM (2015) 614. Brussels, Belgium.</w:t>
      </w:r>
    </w:p>
    <w:p w14:paraId="68110991" w14:textId="77777777" w:rsidR="00035C79" w:rsidRPr="00EA1E87" w:rsidRDefault="00035C79" w:rsidP="00035C79">
      <w:pPr>
        <w:ind w:left="720" w:hanging="720"/>
        <w:jc w:val="both"/>
        <w:rPr>
          <w:rFonts w:ascii="Garamond" w:hAnsi="Garamond"/>
          <w:color w:val="222222"/>
          <w:sz w:val="24"/>
          <w:szCs w:val="24"/>
        </w:rPr>
      </w:pPr>
      <w:r w:rsidRPr="00896C0D">
        <w:rPr>
          <w:rFonts w:ascii="Garamond" w:hAnsi="Garamond"/>
          <w:color w:val="222222"/>
          <w:sz w:val="24"/>
          <w:szCs w:val="24"/>
        </w:rPr>
        <w:t>E</w:t>
      </w:r>
      <w:r>
        <w:rPr>
          <w:rFonts w:ascii="Garamond" w:hAnsi="Garamond"/>
          <w:color w:val="222222"/>
          <w:sz w:val="24"/>
          <w:szCs w:val="24"/>
        </w:rPr>
        <w:t xml:space="preserve">uropean </w:t>
      </w:r>
      <w:r w:rsidRPr="00896C0D">
        <w:rPr>
          <w:rFonts w:ascii="Garamond" w:hAnsi="Garamond"/>
          <w:color w:val="222222"/>
          <w:sz w:val="24"/>
          <w:szCs w:val="24"/>
        </w:rPr>
        <w:t>C</w:t>
      </w:r>
      <w:r>
        <w:rPr>
          <w:rFonts w:ascii="Garamond" w:hAnsi="Garamond"/>
          <w:color w:val="222222"/>
          <w:sz w:val="24"/>
          <w:szCs w:val="24"/>
        </w:rPr>
        <w:t>ommission</w:t>
      </w:r>
      <w:r w:rsidRPr="00896C0D">
        <w:rPr>
          <w:rFonts w:ascii="Garamond" w:hAnsi="Garamond"/>
          <w:color w:val="222222"/>
          <w:sz w:val="24"/>
          <w:szCs w:val="24"/>
        </w:rPr>
        <w:t xml:space="preserve"> (2018). Communication from the Commission to the European Parliament, the Council, the European Economic and Social Committee and the Committee of the Regions. On the implementation of the circular economy package: options to address the interface between chemical, product and waste legislation COM(2018) 32 final. </w:t>
      </w:r>
      <w:r w:rsidRPr="00EA1E87">
        <w:rPr>
          <w:rFonts w:ascii="Garamond" w:hAnsi="Garamond"/>
          <w:color w:val="222222"/>
          <w:sz w:val="24"/>
          <w:szCs w:val="24"/>
        </w:rPr>
        <w:t>Brussels, Belgium.</w:t>
      </w:r>
    </w:p>
    <w:p w14:paraId="7ACFEA32" w14:textId="7F77CCB6" w:rsidR="00D0437C" w:rsidRPr="00C423F4" w:rsidRDefault="00D0437C" w:rsidP="00D0437C">
      <w:pPr>
        <w:ind w:left="720" w:hanging="720"/>
        <w:jc w:val="both"/>
        <w:rPr>
          <w:rFonts w:ascii="Garamond" w:hAnsi="Garamond"/>
          <w:color w:val="222222"/>
          <w:sz w:val="24"/>
          <w:szCs w:val="24"/>
          <w:highlight w:val="white"/>
        </w:rPr>
      </w:pPr>
      <w:r w:rsidRPr="00D0437C">
        <w:rPr>
          <w:rFonts w:ascii="Garamond" w:hAnsi="Garamond"/>
          <w:color w:val="222222"/>
          <w:sz w:val="24"/>
          <w:szCs w:val="24"/>
          <w:highlight w:val="white"/>
        </w:rPr>
        <w:t xml:space="preserve">Genovese, A., Acquaye, A. A., Figueroa, A., &amp; Koh, S. L. (2017). </w:t>
      </w:r>
      <w:r w:rsidRPr="00E214F6">
        <w:rPr>
          <w:rFonts w:ascii="Garamond" w:hAnsi="Garamond"/>
          <w:color w:val="222222"/>
          <w:sz w:val="24"/>
          <w:szCs w:val="24"/>
          <w:highlight w:val="white"/>
        </w:rPr>
        <w:t xml:space="preserve">Sustainable supply chain management and the transition towards a circular economy: Evidence and some applications. </w:t>
      </w:r>
      <w:r w:rsidRPr="00C423F4">
        <w:rPr>
          <w:rFonts w:ascii="Garamond" w:hAnsi="Garamond"/>
          <w:i/>
          <w:color w:val="222222"/>
          <w:sz w:val="24"/>
          <w:szCs w:val="24"/>
          <w:highlight w:val="white"/>
        </w:rPr>
        <w:t>Omega</w:t>
      </w:r>
      <w:r w:rsidRPr="00C423F4">
        <w:rPr>
          <w:rFonts w:ascii="Garamond" w:hAnsi="Garamond"/>
          <w:color w:val="222222"/>
          <w:sz w:val="24"/>
          <w:szCs w:val="24"/>
          <w:highlight w:val="white"/>
        </w:rPr>
        <w:t xml:space="preserve">, </w:t>
      </w:r>
      <w:r w:rsidRPr="00C423F4">
        <w:rPr>
          <w:rFonts w:ascii="Garamond" w:hAnsi="Garamond"/>
          <w:i/>
          <w:color w:val="222222"/>
          <w:sz w:val="24"/>
          <w:szCs w:val="24"/>
          <w:highlight w:val="white"/>
        </w:rPr>
        <w:t>66</w:t>
      </w:r>
      <w:r w:rsidRPr="00C423F4">
        <w:rPr>
          <w:rFonts w:ascii="Garamond" w:hAnsi="Garamond"/>
          <w:color w:val="222222"/>
          <w:sz w:val="24"/>
          <w:szCs w:val="24"/>
          <w:highlight w:val="white"/>
        </w:rPr>
        <w:t>, 344-357.</w:t>
      </w:r>
    </w:p>
    <w:p w14:paraId="70A8F2EA" w14:textId="5614E632" w:rsidR="00035C79" w:rsidRPr="00EA1E87" w:rsidRDefault="00035C79" w:rsidP="00035C79">
      <w:pPr>
        <w:ind w:left="720" w:hanging="720"/>
        <w:jc w:val="both"/>
        <w:rPr>
          <w:rFonts w:ascii="Garamond" w:hAnsi="Garamond"/>
          <w:color w:val="222222"/>
          <w:sz w:val="24"/>
          <w:szCs w:val="24"/>
          <w:highlight w:val="white"/>
        </w:rPr>
      </w:pPr>
      <w:r w:rsidRPr="00EA1E87">
        <w:rPr>
          <w:rFonts w:ascii="Garamond" w:hAnsi="Garamond"/>
          <w:color w:val="222222"/>
          <w:sz w:val="24"/>
          <w:szCs w:val="24"/>
        </w:rPr>
        <w:t>Govindan, K., &amp; Hasanagic, M. (2018). A systematic review on drivers, barriers, and practices towards circular economy: a supply chain perspective. International Journal of Production Research, 56(1-2), 278-311.</w:t>
      </w:r>
    </w:p>
    <w:p w14:paraId="1C7BE2C9" w14:textId="77777777" w:rsidR="00035C79" w:rsidRPr="00EA1E87" w:rsidRDefault="00035C79" w:rsidP="00035C79">
      <w:pPr>
        <w:ind w:left="720" w:hanging="720"/>
        <w:jc w:val="both"/>
        <w:rPr>
          <w:rFonts w:ascii="Garamond" w:hAnsi="Garamond"/>
          <w:color w:val="222222"/>
          <w:sz w:val="24"/>
          <w:szCs w:val="24"/>
          <w:highlight w:val="white"/>
        </w:rPr>
      </w:pPr>
      <w:r w:rsidRPr="00EA1E87">
        <w:rPr>
          <w:rFonts w:ascii="Garamond" w:hAnsi="Garamond"/>
          <w:color w:val="222222"/>
          <w:sz w:val="24"/>
          <w:szCs w:val="24"/>
        </w:rPr>
        <w:t xml:space="preserve">Kirchherr, J., Reike, D., &amp; Hekkert, M. (2017). </w:t>
      </w:r>
      <w:r w:rsidRPr="0008104F">
        <w:rPr>
          <w:rFonts w:ascii="Garamond" w:hAnsi="Garamond"/>
          <w:color w:val="222222"/>
          <w:sz w:val="24"/>
          <w:szCs w:val="24"/>
        </w:rPr>
        <w:t>Conceptualizing the circular economy: An analysis of 114 definitions. Resources, Conservation and Recycling, 127, 221-232.</w:t>
      </w:r>
    </w:p>
    <w:p w14:paraId="57B80286" w14:textId="77777777" w:rsidR="00035C79" w:rsidRPr="00E214F6" w:rsidRDefault="00035C79" w:rsidP="00035C79">
      <w:pPr>
        <w:ind w:left="720" w:hanging="720"/>
        <w:jc w:val="both"/>
        <w:rPr>
          <w:rFonts w:ascii="Garamond" w:hAnsi="Garamond"/>
          <w:color w:val="222222"/>
          <w:sz w:val="24"/>
          <w:szCs w:val="24"/>
          <w:highlight w:val="white"/>
        </w:rPr>
      </w:pPr>
      <w:r w:rsidRPr="00C37C95">
        <w:rPr>
          <w:rFonts w:ascii="Garamond" w:hAnsi="Garamond"/>
          <w:color w:val="222222"/>
          <w:sz w:val="24"/>
          <w:szCs w:val="24"/>
          <w:highlight w:val="white"/>
        </w:rPr>
        <w:t xml:space="preserve">Korhonen, J., Honkasalo, A., &amp; Seppälä, J. (2018). </w:t>
      </w:r>
      <w:r w:rsidRPr="00E214F6">
        <w:rPr>
          <w:rFonts w:ascii="Garamond" w:hAnsi="Garamond"/>
          <w:color w:val="222222"/>
          <w:sz w:val="24"/>
          <w:szCs w:val="24"/>
          <w:highlight w:val="white"/>
        </w:rPr>
        <w:t xml:space="preserve">Circular economy: the concept and its limitations. </w:t>
      </w:r>
      <w:r w:rsidRPr="00E214F6">
        <w:rPr>
          <w:rFonts w:ascii="Garamond" w:hAnsi="Garamond"/>
          <w:i/>
          <w:color w:val="222222"/>
          <w:sz w:val="24"/>
          <w:szCs w:val="24"/>
          <w:highlight w:val="white"/>
        </w:rPr>
        <w:t>Ecological economics</w:t>
      </w:r>
      <w:r w:rsidRPr="00E214F6">
        <w:rPr>
          <w:rFonts w:ascii="Garamond" w:hAnsi="Garamond"/>
          <w:color w:val="222222"/>
          <w:sz w:val="24"/>
          <w:szCs w:val="24"/>
          <w:highlight w:val="white"/>
        </w:rPr>
        <w:t xml:space="preserve">, </w:t>
      </w:r>
      <w:r w:rsidRPr="00E214F6">
        <w:rPr>
          <w:rFonts w:ascii="Garamond" w:hAnsi="Garamond"/>
          <w:i/>
          <w:color w:val="222222"/>
          <w:sz w:val="24"/>
          <w:szCs w:val="24"/>
          <w:highlight w:val="white"/>
        </w:rPr>
        <w:t>143</w:t>
      </w:r>
      <w:r w:rsidRPr="00E214F6">
        <w:rPr>
          <w:rFonts w:ascii="Garamond" w:hAnsi="Garamond"/>
          <w:color w:val="222222"/>
          <w:sz w:val="24"/>
          <w:szCs w:val="24"/>
          <w:highlight w:val="white"/>
        </w:rPr>
        <w:t>, 37-46.</w:t>
      </w:r>
    </w:p>
    <w:p w14:paraId="4945AFC9" w14:textId="77777777" w:rsidR="00035C79" w:rsidRPr="00E214F6" w:rsidRDefault="00035C79" w:rsidP="00035C79">
      <w:pPr>
        <w:ind w:left="720" w:hanging="720"/>
        <w:jc w:val="both"/>
        <w:rPr>
          <w:rFonts w:ascii="Garamond" w:hAnsi="Garamond"/>
          <w:color w:val="222222"/>
          <w:sz w:val="24"/>
          <w:szCs w:val="24"/>
          <w:highlight w:val="white"/>
        </w:rPr>
      </w:pPr>
      <w:r w:rsidRPr="00266B9B">
        <w:rPr>
          <w:rFonts w:ascii="Garamond" w:hAnsi="Garamond"/>
          <w:color w:val="222222"/>
          <w:sz w:val="24"/>
          <w:szCs w:val="24"/>
          <w:highlight w:val="white"/>
        </w:rPr>
        <w:t xml:space="preserve">Korhonen, J., Nuur, C., Feldmann, A., &amp; Birkie, S. E. (2018). </w:t>
      </w:r>
      <w:r w:rsidRPr="00E214F6">
        <w:rPr>
          <w:rFonts w:ascii="Garamond" w:hAnsi="Garamond"/>
          <w:color w:val="222222"/>
          <w:sz w:val="24"/>
          <w:szCs w:val="24"/>
          <w:highlight w:val="white"/>
        </w:rPr>
        <w:t xml:space="preserve">Circular economy as an essentially contested concept. </w:t>
      </w:r>
      <w:r w:rsidRPr="00E214F6">
        <w:rPr>
          <w:rFonts w:ascii="Garamond" w:hAnsi="Garamond"/>
          <w:i/>
          <w:color w:val="222222"/>
          <w:sz w:val="24"/>
          <w:szCs w:val="24"/>
          <w:highlight w:val="white"/>
        </w:rPr>
        <w:t>Journal of Cleaner Production</w:t>
      </w:r>
      <w:r w:rsidRPr="00E214F6">
        <w:rPr>
          <w:rFonts w:ascii="Garamond" w:hAnsi="Garamond"/>
          <w:color w:val="222222"/>
          <w:sz w:val="24"/>
          <w:szCs w:val="24"/>
          <w:highlight w:val="white"/>
        </w:rPr>
        <w:t xml:space="preserve">, </w:t>
      </w:r>
      <w:r w:rsidRPr="00E214F6">
        <w:rPr>
          <w:rFonts w:ascii="Garamond" w:hAnsi="Garamond"/>
          <w:i/>
          <w:color w:val="222222"/>
          <w:sz w:val="24"/>
          <w:szCs w:val="24"/>
          <w:highlight w:val="white"/>
        </w:rPr>
        <w:t>175</w:t>
      </w:r>
      <w:r w:rsidRPr="00E214F6">
        <w:rPr>
          <w:rFonts w:ascii="Garamond" w:hAnsi="Garamond"/>
          <w:color w:val="222222"/>
          <w:sz w:val="24"/>
          <w:szCs w:val="24"/>
          <w:highlight w:val="white"/>
        </w:rPr>
        <w:t>, 544-552.</w:t>
      </w:r>
    </w:p>
    <w:p w14:paraId="11759B72" w14:textId="77777777" w:rsidR="00035C79" w:rsidRPr="00E214F6" w:rsidRDefault="00035C79" w:rsidP="00035C79">
      <w:pPr>
        <w:ind w:left="720" w:hanging="720"/>
        <w:jc w:val="both"/>
        <w:rPr>
          <w:rFonts w:ascii="Garamond" w:hAnsi="Garamond"/>
          <w:color w:val="222222"/>
          <w:sz w:val="24"/>
          <w:szCs w:val="24"/>
          <w:highlight w:val="white"/>
        </w:rPr>
      </w:pPr>
      <w:r w:rsidRPr="00E214F6">
        <w:rPr>
          <w:rFonts w:ascii="Garamond" w:hAnsi="Garamond"/>
          <w:color w:val="222222"/>
          <w:sz w:val="24"/>
          <w:szCs w:val="24"/>
          <w:highlight w:val="white"/>
        </w:rPr>
        <w:t xml:space="preserve">Lazarevic, D., &amp; Valve, H. (2017). Narrating expectations for the circular economy: Towards a common and contested European transition. </w:t>
      </w:r>
      <w:r w:rsidRPr="00E214F6">
        <w:rPr>
          <w:rFonts w:ascii="Garamond" w:hAnsi="Garamond"/>
          <w:i/>
          <w:color w:val="222222"/>
          <w:sz w:val="24"/>
          <w:szCs w:val="24"/>
          <w:highlight w:val="white"/>
        </w:rPr>
        <w:t>Energy research &amp; social science</w:t>
      </w:r>
      <w:r w:rsidRPr="00E214F6">
        <w:rPr>
          <w:rFonts w:ascii="Garamond" w:hAnsi="Garamond"/>
          <w:color w:val="222222"/>
          <w:sz w:val="24"/>
          <w:szCs w:val="24"/>
          <w:highlight w:val="white"/>
        </w:rPr>
        <w:t xml:space="preserve">, </w:t>
      </w:r>
      <w:r w:rsidRPr="00E214F6">
        <w:rPr>
          <w:rFonts w:ascii="Garamond" w:hAnsi="Garamond"/>
          <w:i/>
          <w:color w:val="222222"/>
          <w:sz w:val="24"/>
          <w:szCs w:val="24"/>
          <w:highlight w:val="white"/>
        </w:rPr>
        <w:t>31</w:t>
      </w:r>
      <w:r w:rsidRPr="00E214F6">
        <w:rPr>
          <w:rFonts w:ascii="Garamond" w:hAnsi="Garamond"/>
          <w:color w:val="222222"/>
          <w:sz w:val="24"/>
          <w:szCs w:val="24"/>
          <w:highlight w:val="white"/>
        </w:rPr>
        <w:t>, 60-69.</w:t>
      </w:r>
    </w:p>
    <w:p w14:paraId="67D92DB1" w14:textId="77777777" w:rsidR="00035C79" w:rsidRPr="00E214F6" w:rsidRDefault="00035C79" w:rsidP="00035C79">
      <w:pPr>
        <w:ind w:left="720" w:hanging="720"/>
        <w:jc w:val="both"/>
        <w:rPr>
          <w:rFonts w:ascii="Garamond" w:hAnsi="Garamond"/>
          <w:color w:val="222222"/>
          <w:sz w:val="24"/>
          <w:szCs w:val="24"/>
          <w:highlight w:val="white"/>
        </w:rPr>
      </w:pPr>
      <w:r w:rsidRPr="00E214F6">
        <w:rPr>
          <w:rFonts w:ascii="Garamond" w:hAnsi="Garamond"/>
          <w:color w:val="222222"/>
          <w:sz w:val="24"/>
          <w:szCs w:val="24"/>
          <w:highlight w:val="white"/>
        </w:rPr>
        <w:t xml:space="preserve">MacArthur, E. (2013). Towards the circular economy. </w:t>
      </w:r>
      <w:r w:rsidRPr="00E214F6">
        <w:rPr>
          <w:rFonts w:ascii="Garamond" w:hAnsi="Garamond"/>
          <w:i/>
          <w:color w:val="222222"/>
          <w:sz w:val="24"/>
          <w:szCs w:val="24"/>
          <w:highlight w:val="white"/>
        </w:rPr>
        <w:t>Journal of Industrial Ecology</w:t>
      </w:r>
      <w:r w:rsidRPr="00E214F6">
        <w:rPr>
          <w:rFonts w:ascii="Garamond" w:hAnsi="Garamond"/>
          <w:color w:val="222222"/>
          <w:sz w:val="24"/>
          <w:szCs w:val="24"/>
          <w:highlight w:val="white"/>
        </w:rPr>
        <w:t xml:space="preserve">, </w:t>
      </w:r>
      <w:r w:rsidRPr="00E214F6">
        <w:rPr>
          <w:rFonts w:ascii="Garamond" w:hAnsi="Garamond"/>
          <w:i/>
          <w:color w:val="222222"/>
          <w:sz w:val="24"/>
          <w:szCs w:val="24"/>
          <w:highlight w:val="white"/>
        </w:rPr>
        <w:t>2</w:t>
      </w:r>
      <w:r w:rsidRPr="00E214F6">
        <w:rPr>
          <w:rFonts w:ascii="Garamond" w:hAnsi="Garamond"/>
          <w:color w:val="222222"/>
          <w:sz w:val="24"/>
          <w:szCs w:val="24"/>
          <w:highlight w:val="white"/>
        </w:rPr>
        <w:t>, 23-44.</w:t>
      </w:r>
    </w:p>
    <w:p w14:paraId="11BAD1DF" w14:textId="77777777" w:rsidR="00035C79" w:rsidRDefault="00035C79" w:rsidP="00035C79">
      <w:pPr>
        <w:ind w:left="720" w:hanging="720"/>
        <w:jc w:val="both"/>
        <w:rPr>
          <w:rFonts w:ascii="Garamond" w:hAnsi="Garamond"/>
          <w:color w:val="222222"/>
          <w:sz w:val="24"/>
          <w:szCs w:val="24"/>
        </w:rPr>
      </w:pPr>
      <w:r w:rsidRPr="00C37C95">
        <w:rPr>
          <w:rFonts w:ascii="Garamond" w:hAnsi="Garamond"/>
          <w:color w:val="222222"/>
          <w:sz w:val="24"/>
          <w:szCs w:val="24"/>
          <w:highlight w:val="white"/>
        </w:rPr>
        <w:t xml:space="preserve">MacArthur, E., Zumwinkel, K., &amp; Stuchtey, M. R. (2015). </w:t>
      </w:r>
      <w:r w:rsidRPr="00E214F6">
        <w:rPr>
          <w:rFonts w:ascii="Garamond" w:hAnsi="Garamond"/>
          <w:color w:val="222222"/>
          <w:sz w:val="24"/>
          <w:szCs w:val="24"/>
          <w:highlight w:val="white"/>
        </w:rPr>
        <w:t xml:space="preserve">Growth within: a circular economy vision for a competitive Europe. </w:t>
      </w:r>
      <w:r w:rsidRPr="00EA1E87">
        <w:rPr>
          <w:rFonts w:ascii="Garamond" w:hAnsi="Garamond"/>
          <w:i/>
          <w:color w:val="222222"/>
          <w:sz w:val="24"/>
          <w:szCs w:val="24"/>
          <w:highlight w:val="white"/>
        </w:rPr>
        <w:t>Ellen MacArthur Foundation</w:t>
      </w:r>
      <w:r w:rsidRPr="00EA1E87">
        <w:rPr>
          <w:rFonts w:ascii="Garamond" w:hAnsi="Garamond"/>
          <w:color w:val="222222"/>
          <w:sz w:val="24"/>
          <w:szCs w:val="24"/>
          <w:highlight w:val="white"/>
        </w:rPr>
        <w:t xml:space="preserve">. </w:t>
      </w:r>
    </w:p>
    <w:p w14:paraId="47120113" w14:textId="77777777" w:rsidR="00035C79" w:rsidRDefault="00035C79" w:rsidP="00035C79">
      <w:pPr>
        <w:ind w:left="720" w:hanging="720"/>
        <w:jc w:val="both"/>
        <w:rPr>
          <w:rFonts w:ascii="Garamond" w:hAnsi="Garamond"/>
          <w:color w:val="222222"/>
          <w:sz w:val="24"/>
          <w:szCs w:val="24"/>
          <w:highlight w:val="white"/>
        </w:rPr>
      </w:pPr>
      <w:r w:rsidRPr="00E214F6">
        <w:rPr>
          <w:rFonts w:ascii="Garamond" w:hAnsi="Garamond"/>
          <w:color w:val="222222"/>
          <w:sz w:val="24"/>
          <w:szCs w:val="24"/>
          <w:highlight w:val="white"/>
        </w:rPr>
        <w:t xml:space="preserve">McDonough, W., &amp; Braungart, M. (2010). </w:t>
      </w:r>
      <w:r w:rsidRPr="00E214F6">
        <w:rPr>
          <w:rFonts w:ascii="Garamond" w:hAnsi="Garamond"/>
          <w:i/>
          <w:color w:val="222222"/>
          <w:sz w:val="24"/>
          <w:szCs w:val="24"/>
          <w:highlight w:val="white"/>
        </w:rPr>
        <w:t>Cradle to cradle: Remaking the way we make things</w:t>
      </w:r>
      <w:r w:rsidRPr="00E214F6">
        <w:rPr>
          <w:rFonts w:ascii="Garamond" w:hAnsi="Garamond"/>
          <w:color w:val="222222"/>
          <w:sz w:val="24"/>
          <w:szCs w:val="24"/>
          <w:highlight w:val="white"/>
        </w:rPr>
        <w:t>. North point press.</w:t>
      </w:r>
    </w:p>
    <w:p w14:paraId="18825C38" w14:textId="77777777" w:rsidR="00035C79" w:rsidRPr="00EA1E87" w:rsidRDefault="00035C79" w:rsidP="00035C79">
      <w:pPr>
        <w:ind w:left="720" w:hanging="720"/>
        <w:jc w:val="both"/>
        <w:rPr>
          <w:rFonts w:ascii="Garamond" w:hAnsi="Garamond"/>
          <w:color w:val="222222"/>
          <w:sz w:val="24"/>
          <w:szCs w:val="24"/>
        </w:rPr>
      </w:pPr>
      <w:r w:rsidRPr="003951CB">
        <w:rPr>
          <w:rFonts w:ascii="Garamond" w:eastAsia="Times New Roman" w:hAnsi="Garamond" w:cs="Times New Roman"/>
          <w:bCs/>
          <w:sz w:val="24"/>
          <w:szCs w:val="24"/>
        </w:rPr>
        <w:t>Stewart, R., &amp; Niero, M. (2018). Circular economy in corporate sustainability strategies: A review of corporate sustainability reports in the fast</w:t>
      </w:r>
      <w:r w:rsidRPr="003951CB">
        <w:rPr>
          <w:rFonts w:ascii="Times New Roman" w:eastAsia="Times New Roman" w:hAnsi="Times New Roman" w:cs="Times New Roman"/>
          <w:bCs/>
          <w:sz w:val="24"/>
          <w:szCs w:val="24"/>
        </w:rPr>
        <w:t>‐</w:t>
      </w:r>
      <w:r w:rsidRPr="003951CB">
        <w:rPr>
          <w:rFonts w:ascii="Garamond" w:eastAsia="Times New Roman" w:hAnsi="Garamond" w:cs="Times New Roman"/>
          <w:bCs/>
          <w:sz w:val="24"/>
          <w:szCs w:val="24"/>
        </w:rPr>
        <w:t>moving consumer goods sector. Business Strategy and the Environment, 27(7), 1005-1022.</w:t>
      </w:r>
    </w:p>
    <w:p w14:paraId="5C1890DB" w14:textId="77777777" w:rsidR="00035C79" w:rsidRDefault="00035C79" w:rsidP="00035C79">
      <w:pPr>
        <w:spacing w:before="120" w:after="120"/>
        <w:jc w:val="both"/>
        <w:rPr>
          <w:rFonts w:ascii="Garamond" w:eastAsia="Times New Roman" w:hAnsi="Garamond" w:cs="Times New Roman"/>
          <w:bCs/>
          <w:sz w:val="24"/>
          <w:szCs w:val="24"/>
        </w:rPr>
      </w:pPr>
    </w:p>
    <w:p w14:paraId="357A0A76" w14:textId="77777777" w:rsidR="00035C79" w:rsidRDefault="00035C79" w:rsidP="00035C79">
      <w:pPr>
        <w:spacing w:before="120" w:after="120"/>
        <w:jc w:val="both"/>
        <w:rPr>
          <w:rFonts w:ascii="Garamond" w:eastAsia="Times New Roman" w:hAnsi="Garamond" w:cs="Times New Roman"/>
          <w:bCs/>
          <w:sz w:val="24"/>
          <w:szCs w:val="24"/>
        </w:rPr>
      </w:pPr>
    </w:p>
    <w:p w14:paraId="25F00FBC" w14:textId="77777777" w:rsidR="00B31306" w:rsidRDefault="00B31306"/>
    <w:sectPr w:rsidR="00B313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2E5B" w14:textId="77777777" w:rsidR="002846FC" w:rsidRDefault="002846FC" w:rsidP="00035C79">
      <w:pPr>
        <w:spacing w:line="240" w:lineRule="auto"/>
      </w:pPr>
      <w:r>
        <w:separator/>
      </w:r>
    </w:p>
  </w:endnote>
  <w:endnote w:type="continuationSeparator" w:id="0">
    <w:p w14:paraId="61FC7FCF" w14:textId="77777777" w:rsidR="002846FC" w:rsidRDefault="002846FC" w:rsidP="00035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66D6" w14:textId="77777777" w:rsidR="002846FC" w:rsidRDefault="002846FC" w:rsidP="00035C79">
      <w:pPr>
        <w:spacing w:line="240" w:lineRule="auto"/>
      </w:pPr>
      <w:r>
        <w:separator/>
      </w:r>
    </w:p>
  </w:footnote>
  <w:footnote w:type="continuationSeparator" w:id="0">
    <w:p w14:paraId="0922C8A1" w14:textId="77777777" w:rsidR="002846FC" w:rsidRDefault="002846FC" w:rsidP="00035C79">
      <w:pPr>
        <w:spacing w:line="240" w:lineRule="auto"/>
      </w:pPr>
      <w:r>
        <w:continuationSeparator/>
      </w:r>
    </w:p>
  </w:footnote>
  <w:footnote w:id="1">
    <w:p w14:paraId="6A7D79EE" w14:textId="77777777" w:rsidR="00B31306" w:rsidRPr="00EA1E87" w:rsidRDefault="00B31306" w:rsidP="00035C79">
      <w:pPr>
        <w:pStyle w:val="FootnoteText"/>
        <w:rPr>
          <w:rFonts w:ascii="Garamond" w:hAnsi="Garamond"/>
        </w:rPr>
      </w:pPr>
      <w:r w:rsidRPr="00EA1E87">
        <w:rPr>
          <w:rStyle w:val="FootnoteReference"/>
          <w:rFonts w:ascii="Garamond" w:hAnsi="Garamond"/>
        </w:rPr>
        <w:footnoteRef/>
      </w:r>
      <w:r w:rsidRPr="00EA1E87">
        <w:rPr>
          <w:rFonts w:ascii="Garamond" w:hAnsi="Garamond"/>
        </w:rPr>
        <w:t xml:space="preserve"> http://www.circulary.eu/project</w:t>
      </w:r>
    </w:p>
  </w:footnote>
  <w:footnote w:id="2">
    <w:p w14:paraId="6ABB7EB1" w14:textId="77777777" w:rsidR="00B31306" w:rsidRDefault="00B31306" w:rsidP="00035C79">
      <w:pPr>
        <w:pStyle w:val="FootnoteText"/>
      </w:pPr>
      <w:r w:rsidRPr="00EA1E87">
        <w:rPr>
          <w:rStyle w:val="FootnoteReference"/>
          <w:rFonts w:ascii="Garamond" w:hAnsi="Garamond"/>
        </w:rPr>
        <w:footnoteRef/>
      </w:r>
      <w:r w:rsidRPr="00EA1E87">
        <w:rPr>
          <w:rFonts w:ascii="Garamond" w:hAnsi="Garamond"/>
        </w:rPr>
        <w:t xml:space="preserve"> </w:t>
      </w:r>
      <w:r>
        <w:rPr>
          <w:rFonts w:ascii="Garamond" w:hAnsi="Garamond"/>
        </w:rPr>
        <w:t>http</w:t>
      </w:r>
      <w:r w:rsidRPr="00EA1E87">
        <w:rPr>
          <w:rFonts w:ascii="Garamond" w:hAnsi="Garamond"/>
        </w:rPr>
        <w:t>://circle-lab.com/knowledge-hub</w:t>
      </w:r>
    </w:p>
  </w:footnote>
  <w:footnote w:id="3">
    <w:p w14:paraId="35F84755" w14:textId="77777777" w:rsidR="00B31306" w:rsidRDefault="00B31306" w:rsidP="00035C79">
      <w:pPr>
        <w:pStyle w:val="FootnoteText"/>
      </w:pPr>
      <w:r>
        <w:rPr>
          <w:rStyle w:val="FootnoteReference"/>
        </w:rPr>
        <w:footnoteRef/>
      </w:r>
      <w:r>
        <w:t xml:space="preserve"> </w:t>
      </w:r>
      <w:r w:rsidRPr="00EA1E87">
        <w:rPr>
          <w:rFonts w:ascii="Garamond" w:hAnsi="Garamond"/>
        </w:rPr>
        <w:t>https://fortune.com/global500/2019</w:t>
      </w:r>
    </w:p>
  </w:footnote>
  <w:footnote w:id="4">
    <w:p w14:paraId="10D56B76" w14:textId="77777777" w:rsidR="00B31306" w:rsidRPr="00EA1E87" w:rsidRDefault="00B31306" w:rsidP="00035C79">
      <w:pPr>
        <w:pStyle w:val="FootnoteText"/>
        <w:rPr>
          <w:rFonts w:ascii="Garamond" w:hAnsi="Garamond"/>
        </w:rPr>
      </w:pPr>
      <w:r w:rsidRPr="00EA1E87">
        <w:rPr>
          <w:rStyle w:val="FootnoteReference"/>
          <w:rFonts w:ascii="Garamond" w:hAnsi="Garamond"/>
        </w:rPr>
        <w:footnoteRef/>
      </w:r>
      <w:r w:rsidRPr="00EA1E87">
        <w:rPr>
          <w:rFonts w:ascii="Garamond" w:hAnsi="Garamond"/>
        </w:rPr>
        <w:t xml:space="preserve"> https://sustainabledevelopment.un.org/sdgs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51EE"/>
    <w:multiLevelType w:val="multilevel"/>
    <w:tmpl w:val="A04E5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F223A94"/>
    <w:multiLevelType w:val="hybridMultilevel"/>
    <w:tmpl w:val="8F508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85148"/>
    <w:multiLevelType w:val="hybridMultilevel"/>
    <w:tmpl w:val="81D65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A2C1F"/>
    <w:multiLevelType w:val="hybridMultilevel"/>
    <w:tmpl w:val="991EB556"/>
    <w:lvl w:ilvl="0" w:tplc="4FA6005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524AA"/>
    <w:multiLevelType w:val="multilevel"/>
    <w:tmpl w:val="B764260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79"/>
    <w:rsid w:val="00035C79"/>
    <w:rsid w:val="0006594A"/>
    <w:rsid w:val="00075BF4"/>
    <w:rsid w:val="00081E56"/>
    <w:rsid w:val="00142F60"/>
    <w:rsid w:val="001E38F5"/>
    <w:rsid w:val="00222ABF"/>
    <w:rsid w:val="00277183"/>
    <w:rsid w:val="002846FC"/>
    <w:rsid w:val="00335F51"/>
    <w:rsid w:val="00350C16"/>
    <w:rsid w:val="00363FEE"/>
    <w:rsid w:val="003C58EA"/>
    <w:rsid w:val="004762FB"/>
    <w:rsid w:val="004B236B"/>
    <w:rsid w:val="00557B65"/>
    <w:rsid w:val="005949AB"/>
    <w:rsid w:val="005A1A29"/>
    <w:rsid w:val="0060771D"/>
    <w:rsid w:val="00627AAB"/>
    <w:rsid w:val="00701FB1"/>
    <w:rsid w:val="00706A3F"/>
    <w:rsid w:val="00711ADA"/>
    <w:rsid w:val="00747CB5"/>
    <w:rsid w:val="00813895"/>
    <w:rsid w:val="008C3FD6"/>
    <w:rsid w:val="00A574F9"/>
    <w:rsid w:val="00B31306"/>
    <w:rsid w:val="00B46322"/>
    <w:rsid w:val="00B8179B"/>
    <w:rsid w:val="00C328B2"/>
    <w:rsid w:val="00C423F4"/>
    <w:rsid w:val="00D0437C"/>
    <w:rsid w:val="00DE5EBA"/>
    <w:rsid w:val="00E14FCF"/>
    <w:rsid w:val="00F86A7C"/>
    <w:rsid w:val="00FC35BB"/>
    <w:rsid w:val="00FC4DC5"/>
    <w:rsid w:val="00FF6C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8630"/>
  <w15:chartTrackingRefBased/>
  <w15:docId w15:val="{0509F5CB-D406-48CA-8734-C8515C6F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79"/>
    <w:pPr>
      <w:spacing w:after="0" w:line="276" w:lineRule="auto"/>
    </w:pPr>
    <w:rPr>
      <w:rFonts w:ascii="Arial" w:eastAsia="Arial" w:hAnsi="Arial" w:cs="Arial"/>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C79"/>
    <w:pPr>
      <w:ind w:left="720"/>
      <w:contextualSpacing/>
    </w:pPr>
  </w:style>
  <w:style w:type="paragraph" w:styleId="FootnoteText">
    <w:name w:val="footnote text"/>
    <w:basedOn w:val="Normal"/>
    <w:link w:val="FootnoteTextChar"/>
    <w:uiPriority w:val="99"/>
    <w:semiHidden/>
    <w:unhideWhenUsed/>
    <w:rsid w:val="00035C79"/>
    <w:pPr>
      <w:spacing w:line="240" w:lineRule="auto"/>
    </w:pPr>
    <w:rPr>
      <w:sz w:val="20"/>
      <w:szCs w:val="20"/>
    </w:rPr>
  </w:style>
  <w:style w:type="character" w:customStyle="1" w:styleId="FootnoteTextChar">
    <w:name w:val="Footnote Text Char"/>
    <w:basedOn w:val="DefaultParagraphFont"/>
    <w:link w:val="FootnoteText"/>
    <w:uiPriority w:val="99"/>
    <w:semiHidden/>
    <w:rsid w:val="00035C79"/>
    <w:rPr>
      <w:rFonts w:ascii="Arial" w:eastAsia="Arial" w:hAnsi="Arial" w:cs="Arial"/>
      <w:sz w:val="20"/>
      <w:szCs w:val="20"/>
      <w:lang w:eastAsia="it-IT"/>
    </w:rPr>
  </w:style>
  <w:style w:type="character" w:styleId="FootnoteReference">
    <w:name w:val="footnote reference"/>
    <w:basedOn w:val="DefaultParagraphFont"/>
    <w:uiPriority w:val="99"/>
    <w:semiHidden/>
    <w:unhideWhenUsed/>
    <w:rsid w:val="00035C79"/>
    <w:rPr>
      <w:vertAlign w:val="superscript"/>
    </w:rPr>
  </w:style>
  <w:style w:type="character" w:styleId="CommentReference">
    <w:name w:val="annotation reference"/>
    <w:basedOn w:val="DefaultParagraphFont"/>
    <w:uiPriority w:val="99"/>
    <w:semiHidden/>
    <w:unhideWhenUsed/>
    <w:rsid w:val="00747CB5"/>
    <w:rPr>
      <w:sz w:val="16"/>
      <w:szCs w:val="16"/>
    </w:rPr>
  </w:style>
  <w:style w:type="paragraph" w:styleId="CommentText">
    <w:name w:val="annotation text"/>
    <w:basedOn w:val="Normal"/>
    <w:link w:val="CommentTextChar"/>
    <w:uiPriority w:val="99"/>
    <w:semiHidden/>
    <w:unhideWhenUsed/>
    <w:rsid w:val="00747CB5"/>
    <w:pPr>
      <w:spacing w:line="240" w:lineRule="auto"/>
    </w:pPr>
    <w:rPr>
      <w:sz w:val="20"/>
      <w:szCs w:val="20"/>
    </w:rPr>
  </w:style>
  <w:style w:type="character" w:customStyle="1" w:styleId="CommentTextChar">
    <w:name w:val="Comment Text Char"/>
    <w:basedOn w:val="DefaultParagraphFont"/>
    <w:link w:val="CommentText"/>
    <w:uiPriority w:val="99"/>
    <w:semiHidden/>
    <w:rsid w:val="00747CB5"/>
    <w:rPr>
      <w:rFonts w:ascii="Arial" w:eastAsia="Arial" w:hAnsi="Arial" w:cs="Arial"/>
      <w:sz w:val="20"/>
      <w:szCs w:val="20"/>
      <w:lang w:eastAsia="it-IT"/>
    </w:rPr>
  </w:style>
  <w:style w:type="paragraph" w:styleId="CommentSubject">
    <w:name w:val="annotation subject"/>
    <w:basedOn w:val="CommentText"/>
    <w:next w:val="CommentText"/>
    <w:link w:val="CommentSubjectChar"/>
    <w:uiPriority w:val="99"/>
    <w:semiHidden/>
    <w:unhideWhenUsed/>
    <w:rsid w:val="00747CB5"/>
    <w:rPr>
      <w:b/>
      <w:bCs/>
    </w:rPr>
  </w:style>
  <w:style w:type="character" w:customStyle="1" w:styleId="CommentSubjectChar">
    <w:name w:val="Comment Subject Char"/>
    <w:basedOn w:val="CommentTextChar"/>
    <w:link w:val="CommentSubject"/>
    <w:uiPriority w:val="99"/>
    <w:semiHidden/>
    <w:rsid w:val="00747CB5"/>
    <w:rPr>
      <w:rFonts w:ascii="Arial" w:eastAsia="Arial" w:hAnsi="Arial" w:cs="Arial"/>
      <w:b/>
      <w:bCs/>
      <w:sz w:val="20"/>
      <w:szCs w:val="20"/>
      <w:lang w:eastAsia="it-IT"/>
    </w:rPr>
  </w:style>
  <w:style w:type="paragraph" w:styleId="BalloonText">
    <w:name w:val="Balloon Text"/>
    <w:basedOn w:val="Normal"/>
    <w:link w:val="BalloonTextChar"/>
    <w:uiPriority w:val="99"/>
    <w:semiHidden/>
    <w:unhideWhenUsed/>
    <w:rsid w:val="00747C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B5"/>
    <w:rPr>
      <w:rFonts w:ascii="Segoe UI" w:eastAsia="Arial"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2856">
      <w:bodyDiv w:val="1"/>
      <w:marLeft w:val="0"/>
      <w:marRight w:val="0"/>
      <w:marTop w:val="0"/>
      <w:marBottom w:val="0"/>
      <w:divBdr>
        <w:top w:val="none" w:sz="0" w:space="0" w:color="auto"/>
        <w:left w:val="none" w:sz="0" w:space="0" w:color="auto"/>
        <w:bottom w:val="none" w:sz="0" w:space="0" w:color="auto"/>
        <w:right w:val="none" w:sz="0" w:space="0" w:color="auto"/>
      </w:divBdr>
      <w:divsChild>
        <w:div w:id="757553634">
          <w:marLeft w:val="0"/>
          <w:marRight w:val="0"/>
          <w:marTop w:val="0"/>
          <w:marBottom w:val="0"/>
          <w:divBdr>
            <w:top w:val="none" w:sz="0" w:space="0" w:color="auto"/>
            <w:left w:val="none" w:sz="0" w:space="0" w:color="auto"/>
            <w:bottom w:val="none" w:sz="0" w:space="0" w:color="auto"/>
            <w:right w:val="none" w:sz="0" w:space="0" w:color="auto"/>
          </w:divBdr>
        </w:div>
        <w:div w:id="1579096726">
          <w:marLeft w:val="0"/>
          <w:marRight w:val="0"/>
          <w:marTop w:val="0"/>
          <w:marBottom w:val="0"/>
          <w:divBdr>
            <w:top w:val="none" w:sz="0" w:space="0" w:color="auto"/>
            <w:left w:val="none" w:sz="0" w:space="0" w:color="auto"/>
            <w:bottom w:val="none" w:sz="0" w:space="0" w:color="auto"/>
            <w:right w:val="none" w:sz="0" w:space="0" w:color="auto"/>
          </w:divBdr>
        </w:div>
        <w:div w:id="137580644">
          <w:marLeft w:val="0"/>
          <w:marRight w:val="0"/>
          <w:marTop w:val="0"/>
          <w:marBottom w:val="0"/>
          <w:divBdr>
            <w:top w:val="none" w:sz="0" w:space="0" w:color="auto"/>
            <w:left w:val="none" w:sz="0" w:space="0" w:color="auto"/>
            <w:bottom w:val="none" w:sz="0" w:space="0" w:color="auto"/>
            <w:right w:val="none" w:sz="0" w:space="0" w:color="auto"/>
          </w:divBdr>
        </w:div>
      </w:divsChild>
    </w:div>
    <w:div w:id="1532766534">
      <w:bodyDiv w:val="1"/>
      <w:marLeft w:val="0"/>
      <w:marRight w:val="0"/>
      <w:marTop w:val="0"/>
      <w:marBottom w:val="0"/>
      <w:divBdr>
        <w:top w:val="none" w:sz="0" w:space="0" w:color="auto"/>
        <w:left w:val="none" w:sz="0" w:space="0" w:color="auto"/>
        <w:bottom w:val="none" w:sz="0" w:space="0" w:color="auto"/>
        <w:right w:val="none" w:sz="0" w:space="0" w:color="auto"/>
      </w:divBdr>
      <w:divsChild>
        <w:div w:id="1472360619">
          <w:marLeft w:val="0"/>
          <w:marRight w:val="0"/>
          <w:marTop w:val="0"/>
          <w:marBottom w:val="0"/>
          <w:divBdr>
            <w:top w:val="none" w:sz="0" w:space="0" w:color="auto"/>
            <w:left w:val="none" w:sz="0" w:space="0" w:color="auto"/>
            <w:bottom w:val="none" w:sz="0" w:space="0" w:color="auto"/>
            <w:right w:val="none" w:sz="0" w:space="0" w:color="auto"/>
          </w:divBdr>
        </w:div>
        <w:div w:id="1968704850">
          <w:marLeft w:val="0"/>
          <w:marRight w:val="0"/>
          <w:marTop w:val="0"/>
          <w:marBottom w:val="0"/>
          <w:divBdr>
            <w:top w:val="none" w:sz="0" w:space="0" w:color="auto"/>
            <w:left w:val="none" w:sz="0" w:space="0" w:color="auto"/>
            <w:bottom w:val="none" w:sz="0" w:space="0" w:color="auto"/>
            <w:right w:val="none" w:sz="0" w:space="0" w:color="auto"/>
          </w:divBdr>
        </w:div>
        <w:div w:id="212260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Calzolari</dc:creator>
  <cp:keywords/>
  <dc:description/>
  <cp:lastModifiedBy>Andrea Genovese</cp:lastModifiedBy>
  <cp:revision>13</cp:revision>
  <dcterms:created xsi:type="dcterms:W3CDTF">2019-07-28T23:06:00Z</dcterms:created>
  <dcterms:modified xsi:type="dcterms:W3CDTF">2019-07-31T16:38:00Z</dcterms:modified>
</cp:coreProperties>
</file>