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07B" w14:textId="77777777" w:rsidR="000D397A" w:rsidRDefault="000D397A" w:rsidP="000D397A">
      <w:pPr>
        <w:spacing w:after="160" w:line="259" w:lineRule="auto"/>
        <w:rPr>
          <w:rFonts w:ascii="Lato" w:eastAsia="Lato" w:hAnsi="Lato" w:cs="Lato"/>
        </w:rPr>
      </w:pPr>
      <w:r>
        <w:rPr>
          <w:rFonts w:ascii="Lato" w:eastAsia="Lato" w:hAnsi="Lato" w:cs="Lato"/>
        </w:rPr>
        <w:t>Table A3: Results of the Regular Expression in combination with heuristics method on the corpus.</w:t>
      </w:r>
    </w:p>
    <w:tbl>
      <w:tblPr>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1925"/>
        <w:gridCol w:w="1680"/>
      </w:tblGrid>
      <w:tr w:rsidR="000D397A" w14:paraId="1E291339" w14:textId="77777777" w:rsidTr="00581814">
        <w:trPr>
          <w:trHeight w:val="420"/>
        </w:trPr>
        <w:tc>
          <w:tcPr>
            <w:tcW w:w="855" w:type="dxa"/>
            <w:shd w:val="clear" w:color="auto" w:fill="auto"/>
            <w:tcMar>
              <w:top w:w="100" w:type="dxa"/>
              <w:left w:w="100" w:type="dxa"/>
              <w:bottom w:w="100" w:type="dxa"/>
              <w:right w:w="100" w:type="dxa"/>
            </w:tcMar>
          </w:tcPr>
          <w:p w14:paraId="39A6A251" w14:textId="77777777" w:rsidR="000D397A" w:rsidRDefault="000D397A" w:rsidP="00581814">
            <w:pPr>
              <w:widowControl w:val="0"/>
              <w:spacing w:line="240" w:lineRule="auto"/>
              <w:rPr>
                <w:rFonts w:ascii="Lato" w:eastAsia="Lato" w:hAnsi="Lato" w:cs="Lato"/>
              </w:rPr>
            </w:pPr>
            <w:r>
              <w:rPr>
                <w:rFonts w:ascii="Lato" w:eastAsia="Lato" w:hAnsi="Lato" w:cs="Lato"/>
              </w:rPr>
              <w:t>Paper</w:t>
            </w:r>
          </w:p>
        </w:tc>
        <w:tc>
          <w:tcPr>
            <w:tcW w:w="11925" w:type="dxa"/>
            <w:shd w:val="clear" w:color="auto" w:fill="auto"/>
            <w:tcMar>
              <w:top w:w="100" w:type="dxa"/>
              <w:left w:w="100" w:type="dxa"/>
              <w:bottom w:w="100" w:type="dxa"/>
              <w:right w:w="100" w:type="dxa"/>
            </w:tcMar>
          </w:tcPr>
          <w:p w14:paraId="48ADDA09" w14:textId="77777777" w:rsidR="000D397A" w:rsidRDefault="000D397A" w:rsidP="00581814">
            <w:pPr>
              <w:widowControl w:val="0"/>
              <w:spacing w:line="240" w:lineRule="auto"/>
              <w:rPr>
                <w:rFonts w:ascii="Lato" w:eastAsia="Lato" w:hAnsi="Lato" w:cs="Lato"/>
              </w:rPr>
            </w:pPr>
          </w:p>
        </w:tc>
        <w:tc>
          <w:tcPr>
            <w:tcW w:w="1680" w:type="dxa"/>
            <w:shd w:val="clear" w:color="auto" w:fill="auto"/>
            <w:tcMar>
              <w:top w:w="100" w:type="dxa"/>
              <w:left w:w="100" w:type="dxa"/>
              <w:bottom w:w="100" w:type="dxa"/>
              <w:right w:w="100" w:type="dxa"/>
            </w:tcMar>
          </w:tcPr>
          <w:p w14:paraId="50927897" w14:textId="77777777" w:rsidR="000D397A" w:rsidRDefault="000D397A" w:rsidP="00581814">
            <w:pPr>
              <w:widowControl w:val="0"/>
              <w:spacing w:line="240" w:lineRule="auto"/>
              <w:rPr>
                <w:rFonts w:ascii="Lato" w:eastAsia="Lato" w:hAnsi="Lato" w:cs="Lato"/>
              </w:rPr>
            </w:pPr>
            <w:r>
              <w:rPr>
                <w:rFonts w:ascii="Lato" w:eastAsia="Lato" w:hAnsi="Lato" w:cs="Lato"/>
              </w:rPr>
              <w:t>Result</w:t>
            </w:r>
          </w:p>
        </w:tc>
      </w:tr>
      <w:tr w:rsidR="000D397A" w14:paraId="5408139A" w14:textId="77777777" w:rsidTr="00581814">
        <w:trPr>
          <w:trHeight w:val="420"/>
        </w:trPr>
        <w:tc>
          <w:tcPr>
            <w:tcW w:w="855" w:type="dxa"/>
            <w:vMerge w:val="restart"/>
            <w:shd w:val="clear" w:color="auto" w:fill="auto"/>
            <w:tcMar>
              <w:top w:w="100" w:type="dxa"/>
              <w:left w:w="100" w:type="dxa"/>
              <w:bottom w:w="100" w:type="dxa"/>
              <w:right w:w="100" w:type="dxa"/>
            </w:tcMar>
          </w:tcPr>
          <w:p w14:paraId="28D3276F" w14:textId="77777777" w:rsidR="000D397A" w:rsidRDefault="000D397A" w:rsidP="00581814">
            <w:pPr>
              <w:widowControl w:val="0"/>
              <w:spacing w:line="240" w:lineRule="auto"/>
              <w:rPr>
                <w:rFonts w:ascii="Lato" w:eastAsia="Lato" w:hAnsi="Lato" w:cs="Lato"/>
              </w:rPr>
            </w:pPr>
            <w:r>
              <w:rPr>
                <w:rFonts w:ascii="Lato" w:eastAsia="Lato" w:hAnsi="Lato" w:cs="Lato"/>
              </w:rPr>
              <w:t>[1]</w:t>
            </w:r>
          </w:p>
        </w:tc>
        <w:tc>
          <w:tcPr>
            <w:tcW w:w="11925" w:type="dxa"/>
            <w:shd w:val="clear" w:color="auto" w:fill="auto"/>
            <w:tcMar>
              <w:top w:w="100" w:type="dxa"/>
              <w:left w:w="100" w:type="dxa"/>
              <w:bottom w:w="100" w:type="dxa"/>
              <w:right w:w="100" w:type="dxa"/>
            </w:tcMar>
          </w:tcPr>
          <w:p w14:paraId="479C89DE" w14:textId="77777777" w:rsidR="000D397A" w:rsidRDefault="000D397A" w:rsidP="00581814">
            <w:pPr>
              <w:widowControl w:val="0"/>
              <w:spacing w:line="240" w:lineRule="auto"/>
              <w:rPr>
                <w:rFonts w:ascii="Lato" w:eastAsia="Lato" w:hAnsi="Lato" w:cs="Lato"/>
              </w:rPr>
            </w:pPr>
            <w:r>
              <w:rPr>
                <w:rFonts w:ascii="Lato" w:eastAsia="Lato" w:hAnsi="Lato" w:cs="Lato"/>
              </w:rPr>
              <w:t xml:space="preserve">'Discovery of advanced soft-magnetic high entropy alloy (HEA) thin films are highly pursued to obtain unidentified functional materials. The figure of merit in current nanocrystalline HEA thin films relies in integration of a simple single-step electrochemical approach with a complex HEA system containing multiple elements with dissimilar crystal structures and large variation of melting points. A new family of </w:t>
            </w:r>
            <w:r>
              <w:rPr>
                <w:rFonts w:ascii="Lato" w:eastAsia="Lato" w:hAnsi="Lato" w:cs="Lato"/>
                <w:highlight w:val="yellow"/>
              </w:rPr>
              <w:t>Cobalt-Copper-Iron-Nickel-Zinc (Co-Cu-Fe-Ni-Zn)</w:t>
            </w:r>
            <w:r>
              <w:rPr>
                <w:rFonts w:ascii="Lato" w:eastAsia="Lato" w:hAnsi="Lato" w:cs="Lato"/>
              </w:rPr>
              <w:t xml:space="preserve"> HEA thin films are prepared through pulse electrodeposition in aqueous medium, hosts nanocrystalline features in the range of ~5-20nm having FCC and BCC dual phases. </w:t>
            </w:r>
            <w:r>
              <w:rPr>
                <w:rFonts w:ascii="Lato" w:eastAsia="Lato" w:hAnsi="Lato" w:cs="Lato"/>
                <w:highlight w:val="green"/>
              </w:rPr>
              <w:t>The fabricated Co-Cu-Fe-Ni-Zn HEA thin films exhibited high saturation magnetization value of ~82emu/g,</w:t>
            </w:r>
            <w:r>
              <w:rPr>
                <w:rFonts w:ascii="Lato" w:eastAsia="Lato" w:hAnsi="Lato" w:cs="Lato"/>
              </w:rPr>
              <w:t xml:space="preserve"> relatively </w:t>
            </w:r>
            <w:r>
              <w:rPr>
                <w:rFonts w:ascii="Lato" w:eastAsia="Lato" w:hAnsi="Lato" w:cs="Lato"/>
                <w:highlight w:val="cyan"/>
              </w:rPr>
              <w:t xml:space="preserve">low coercivity value of 19.5 </w:t>
            </w:r>
            <w:proofErr w:type="spellStart"/>
            <w:r>
              <w:rPr>
                <w:rFonts w:ascii="Lato" w:eastAsia="Lato" w:hAnsi="Lato" w:cs="Lato"/>
                <w:highlight w:val="cyan"/>
              </w:rPr>
              <w:t>Oe</w:t>
            </w:r>
            <w:proofErr w:type="spellEnd"/>
            <w:r>
              <w:rPr>
                <w:rFonts w:ascii="Lato" w:eastAsia="Lato" w:hAnsi="Lato" w:cs="Lato"/>
              </w:rPr>
              <w:t xml:space="preserve"> and remanent magnetization of 1.17%. Irrespective of the alloying of diamagnetic Zn and Cu with ferromagnetic Fe, Co, Ni elements, the HEA thin film has resulted in relatively high saturation magnetization which can provide useful insights for its potential unexplored applications.'</w:t>
            </w:r>
          </w:p>
        </w:tc>
        <w:tc>
          <w:tcPr>
            <w:tcW w:w="1680" w:type="dxa"/>
            <w:vMerge w:val="restart"/>
            <w:shd w:val="clear" w:color="auto" w:fill="auto"/>
            <w:tcMar>
              <w:top w:w="100" w:type="dxa"/>
              <w:left w:w="100" w:type="dxa"/>
              <w:bottom w:w="100" w:type="dxa"/>
              <w:right w:w="100" w:type="dxa"/>
            </w:tcMar>
          </w:tcPr>
          <w:p w14:paraId="5B61DA7F" w14:textId="77777777" w:rsidR="000D397A" w:rsidRDefault="000D397A" w:rsidP="00581814">
            <w:pPr>
              <w:widowControl w:val="0"/>
              <w:spacing w:line="240" w:lineRule="auto"/>
              <w:rPr>
                <w:rFonts w:ascii="Lato" w:eastAsia="Lato" w:hAnsi="Lato" w:cs="Lato"/>
              </w:rPr>
            </w:pPr>
            <w:r>
              <w:rPr>
                <w:rFonts w:ascii="Lato" w:eastAsia="Lato" w:hAnsi="Lato" w:cs="Lato"/>
              </w:rPr>
              <w:t>Composition recognised, saturation magnetisation and coercivity picked up correctly,</w:t>
            </w:r>
          </w:p>
        </w:tc>
      </w:tr>
      <w:tr w:rsidR="000D397A" w14:paraId="4611FEF4" w14:textId="77777777" w:rsidTr="00581814">
        <w:trPr>
          <w:trHeight w:val="420"/>
        </w:trPr>
        <w:tc>
          <w:tcPr>
            <w:tcW w:w="855" w:type="dxa"/>
            <w:vMerge/>
            <w:shd w:val="clear" w:color="auto" w:fill="auto"/>
            <w:tcMar>
              <w:top w:w="100" w:type="dxa"/>
              <w:left w:w="100" w:type="dxa"/>
              <w:bottom w:w="100" w:type="dxa"/>
              <w:right w:w="100" w:type="dxa"/>
            </w:tcMar>
          </w:tcPr>
          <w:p w14:paraId="54E4D023"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6911BCB5"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64623244" wp14:editId="262F49AC">
                  <wp:extent cx="2276475" cy="1524000"/>
                  <wp:effectExtent l="0" t="0" r="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2276475" cy="1524000"/>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68815E78" w14:textId="77777777" w:rsidR="000D397A" w:rsidRDefault="000D397A" w:rsidP="00581814">
            <w:pPr>
              <w:widowControl w:val="0"/>
              <w:spacing w:line="240" w:lineRule="auto"/>
              <w:rPr>
                <w:rFonts w:ascii="Lato" w:eastAsia="Lato" w:hAnsi="Lato" w:cs="Lato"/>
              </w:rPr>
            </w:pPr>
          </w:p>
        </w:tc>
      </w:tr>
      <w:tr w:rsidR="000D397A" w14:paraId="5613C7A9" w14:textId="77777777" w:rsidTr="00581814">
        <w:trPr>
          <w:trHeight w:val="420"/>
        </w:trPr>
        <w:tc>
          <w:tcPr>
            <w:tcW w:w="855" w:type="dxa"/>
            <w:vMerge w:val="restart"/>
            <w:shd w:val="clear" w:color="auto" w:fill="auto"/>
            <w:tcMar>
              <w:top w:w="100" w:type="dxa"/>
              <w:left w:w="100" w:type="dxa"/>
              <w:bottom w:w="100" w:type="dxa"/>
              <w:right w:w="100" w:type="dxa"/>
            </w:tcMar>
          </w:tcPr>
          <w:p w14:paraId="3B6EBCEB" w14:textId="77777777" w:rsidR="000D397A" w:rsidRDefault="000D397A" w:rsidP="00581814">
            <w:pPr>
              <w:widowControl w:val="0"/>
              <w:spacing w:line="240" w:lineRule="auto"/>
              <w:rPr>
                <w:rFonts w:ascii="Lato" w:eastAsia="Lato" w:hAnsi="Lato" w:cs="Lato"/>
              </w:rPr>
            </w:pPr>
            <w:r>
              <w:rPr>
                <w:rFonts w:ascii="Lato" w:eastAsia="Lato" w:hAnsi="Lato" w:cs="Lato"/>
              </w:rPr>
              <w:t>[2]</w:t>
            </w:r>
          </w:p>
        </w:tc>
        <w:tc>
          <w:tcPr>
            <w:tcW w:w="11925" w:type="dxa"/>
            <w:shd w:val="clear" w:color="auto" w:fill="auto"/>
            <w:tcMar>
              <w:top w:w="100" w:type="dxa"/>
              <w:left w:w="100" w:type="dxa"/>
              <w:bottom w:w="100" w:type="dxa"/>
              <w:right w:w="100" w:type="dxa"/>
            </w:tcMar>
          </w:tcPr>
          <w:p w14:paraId="22525AE4" w14:textId="77777777" w:rsidR="000D397A" w:rsidRDefault="000D397A" w:rsidP="00581814">
            <w:pPr>
              <w:spacing w:line="240" w:lineRule="auto"/>
              <w:rPr>
                <w:rFonts w:ascii="Lato" w:eastAsia="Lato" w:hAnsi="Lato" w:cs="Lato"/>
              </w:rPr>
            </w:pPr>
            <w:r>
              <w:t>'</w:t>
            </w:r>
            <w:proofErr w:type="spellStart"/>
            <w:r>
              <w:rPr>
                <w:rFonts w:ascii="Lato" w:eastAsia="Lato" w:hAnsi="Lato" w:cs="Lato"/>
              </w:rPr>
              <w:t>Multiprincipal</w:t>
            </w:r>
            <w:proofErr w:type="spellEnd"/>
            <w:r>
              <w:rPr>
                <w:rFonts w:ascii="Lato" w:eastAsia="Lato" w:hAnsi="Lato" w:cs="Lato"/>
              </w:rPr>
              <w:t xml:space="preserve">-element alloys (MPEAs), including high-entropy alloys, are a new class of materials whose thermodynamical properties are mainly driven by configuration entropy, rather than enthalpy in the traditional alloys, especially at high temperatures. Herein, the design of a novel soft-magnetic </w:t>
            </w:r>
            <w:proofErr w:type="spellStart"/>
            <w:r>
              <w:rPr>
                <w:rFonts w:ascii="Lato" w:eastAsia="Lato" w:hAnsi="Lato" w:cs="Lato"/>
              </w:rPr>
              <w:t>nonequiatomic</w:t>
            </w:r>
            <w:proofErr w:type="spellEnd"/>
            <w:r>
              <w:rPr>
                <w:rFonts w:ascii="Lato" w:eastAsia="Lato" w:hAnsi="Lato" w:cs="Lato"/>
              </w:rPr>
              <w:t>, quaternary MPEA is described, via tuning its chemical composition to deliberately manipulate its microstructure, such that it contains ultrafine ferromagnetic body-</w:t>
            </w:r>
            <w:proofErr w:type="spellStart"/>
            <w:r>
              <w:rPr>
                <w:rFonts w:ascii="Lato" w:eastAsia="Lato" w:hAnsi="Lato" w:cs="Lato"/>
              </w:rPr>
              <w:t>centered</w:t>
            </w:r>
            <w:proofErr w:type="spellEnd"/>
            <w:r>
              <w:rPr>
                <w:rFonts w:ascii="Lato" w:eastAsia="Lato" w:hAnsi="Lato" w:cs="Lato"/>
              </w:rPr>
              <w:t xml:space="preserve">-cubic (BCC) coherent nanoprecipitates (3-7nm) uniformly distributed in a B2-phase matrix. </w:t>
            </w:r>
            <w:r>
              <w:rPr>
                <w:rFonts w:ascii="Lato" w:eastAsia="Lato" w:hAnsi="Lato" w:cs="Lato"/>
                <w:highlight w:val="yellow"/>
              </w:rPr>
              <w:t xml:space="preserve">The new alloy Al1.5 Co4 Fe2 Cr </w:t>
            </w:r>
            <w:r>
              <w:rPr>
                <w:rFonts w:ascii="Lato" w:eastAsia="Lato" w:hAnsi="Lato" w:cs="Lato"/>
                <w:highlight w:val="green"/>
              </w:rPr>
              <w:t>exhibits high saturation magnetization (MS = 135.3 emu g-</w:t>
            </w:r>
            <w:proofErr w:type="gramStart"/>
            <w:r>
              <w:rPr>
                <w:rFonts w:ascii="Lato" w:eastAsia="Lato" w:hAnsi="Lato" w:cs="Lato"/>
                <w:highlight w:val="green"/>
              </w:rPr>
              <w:t>1 )</w:t>
            </w:r>
            <w:proofErr w:type="gramEnd"/>
            <w:r>
              <w:rPr>
                <w:rFonts w:ascii="Lato" w:eastAsia="Lato" w:hAnsi="Lato" w:cs="Lato"/>
                <w:highlight w:val="green"/>
              </w:rPr>
              <w:t xml:space="preserve">, </w:t>
            </w:r>
            <w:r>
              <w:rPr>
                <w:rFonts w:ascii="Lato" w:eastAsia="Lato" w:hAnsi="Lato" w:cs="Lato"/>
                <w:highlight w:val="cyan"/>
              </w:rPr>
              <w:t xml:space="preserve">low </w:t>
            </w:r>
            <w:r>
              <w:rPr>
                <w:rFonts w:ascii="Lato" w:eastAsia="Lato" w:hAnsi="Lato" w:cs="Lato"/>
                <w:highlight w:val="cyan"/>
              </w:rPr>
              <w:lastRenderedPageBreak/>
              <w:t>coercivity (HC = 127.3 A m-1 ),</w:t>
            </w:r>
            <w:r>
              <w:rPr>
                <w:rFonts w:ascii="Lato" w:eastAsia="Lato" w:hAnsi="Lato" w:cs="Lato"/>
              </w:rPr>
              <w:t xml:space="preserve"> </w:t>
            </w:r>
            <w:r>
              <w:rPr>
                <w:rFonts w:ascii="Lato" w:eastAsia="Lato" w:hAnsi="Lato" w:cs="Lato"/>
                <w:highlight w:val="magenta"/>
              </w:rPr>
              <w:t>high Curie temperature (TC \xa0= 1061 K),</w:t>
            </w:r>
            <w:r>
              <w:rPr>
                <w:rFonts w:ascii="Cardo" w:eastAsia="Cardo" w:hAnsi="Cardo" w:cs="Cardo"/>
              </w:rPr>
              <w:t xml:space="preserve"> and high electrical resistivity (ρ =44 </w:t>
            </w:r>
            <w:proofErr w:type="spellStart"/>
            <w:r>
              <w:rPr>
                <w:rFonts w:ascii="Cardo" w:eastAsia="Cardo" w:hAnsi="Cardo" w:cs="Cardo"/>
              </w:rPr>
              <w:t>μΩ</w:t>
            </w:r>
            <w:proofErr w:type="spellEnd"/>
            <w:r>
              <w:rPr>
                <w:rFonts w:ascii="Cardo" w:eastAsia="Cardo" w:hAnsi="Cardo" w:cs="Cardo"/>
              </w:rPr>
              <w:t xml:space="preserve"> cm), promising for soft magnets. More importantly, these prominent soft-magnetic properties are observed to be retained even after the alloy is thermally exposed at 873 K for 555 h, apparently attributable to the excellent stability of the coherent microstructure. The versatility of the magnetic properties of this new alloy is discussed </w:t>
            </w:r>
            <w:proofErr w:type="gramStart"/>
            <w:r>
              <w:rPr>
                <w:rFonts w:ascii="Cardo" w:eastAsia="Cardo" w:hAnsi="Cardo" w:cs="Cardo"/>
              </w:rPr>
              <w:t>in light of</w:t>
            </w:r>
            <w:proofErr w:type="gramEnd"/>
            <w:r>
              <w:rPr>
                <w:rFonts w:ascii="Cardo" w:eastAsia="Cardo" w:hAnsi="Cardo" w:cs="Cardo"/>
              </w:rPr>
              <w:t xml:space="preserve"> the microstructural change induced by tuning the chemical composition, and the enhanced performance of the alloy is compared directly with that of the traditional soft-magnetic alloys. The perspective is also addressed to design high-performance soft-magnetic alloys for high-temperature applications.'</w:t>
            </w:r>
          </w:p>
        </w:tc>
        <w:tc>
          <w:tcPr>
            <w:tcW w:w="1680" w:type="dxa"/>
            <w:vMerge w:val="restart"/>
            <w:shd w:val="clear" w:color="auto" w:fill="auto"/>
            <w:tcMar>
              <w:top w:w="100" w:type="dxa"/>
              <w:left w:w="100" w:type="dxa"/>
              <w:bottom w:w="100" w:type="dxa"/>
              <w:right w:w="100" w:type="dxa"/>
            </w:tcMar>
          </w:tcPr>
          <w:p w14:paraId="4C75964C" w14:textId="77777777" w:rsidR="000D397A" w:rsidRDefault="000D397A" w:rsidP="00581814">
            <w:pPr>
              <w:widowControl w:val="0"/>
              <w:spacing w:line="240" w:lineRule="auto"/>
              <w:rPr>
                <w:rFonts w:ascii="Lato" w:eastAsia="Lato" w:hAnsi="Lato" w:cs="Lato"/>
              </w:rPr>
            </w:pPr>
            <w:r>
              <w:rPr>
                <w:rFonts w:ascii="Lato" w:eastAsia="Lato" w:hAnsi="Lato" w:cs="Lato"/>
              </w:rPr>
              <w:lastRenderedPageBreak/>
              <w:t xml:space="preserve">Composition recognised, saturation magnetisation and coercivity picked up </w:t>
            </w:r>
            <w:r>
              <w:rPr>
                <w:rFonts w:ascii="Lato" w:eastAsia="Lato" w:hAnsi="Lato" w:cs="Lato"/>
              </w:rPr>
              <w:lastRenderedPageBreak/>
              <w:t>correctly,</w:t>
            </w:r>
          </w:p>
        </w:tc>
      </w:tr>
      <w:tr w:rsidR="000D397A" w14:paraId="7F24BDBA" w14:textId="77777777" w:rsidTr="00581814">
        <w:trPr>
          <w:trHeight w:val="420"/>
        </w:trPr>
        <w:tc>
          <w:tcPr>
            <w:tcW w:w="855" w:type="dxa"/>
            <w:vMerge/>
            <w:shd w:val="clear" w:color="auto" w:fill="auto"/>
            <w:tcMar>
              <w:top w:w="100" w:type="dxa"/>
              <w:left w:w="100" w:type="dxa"/>
              <w:bottom w:w="100" w:type="dxa"/>
              <w:right w:w="100" w:type="dxa"/>
            </w:tcMar>
          </w:tcPr>
          <w:p w14:paraId="4FDF875E"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4D590D58"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7F2A25B2" wp14:editId="0EF5122E">
                  <wp:extent cx="2466975" cy="126682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66975" cy="1266825"/>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6C61CDE5" w14:textId="77777777" w:rsidR="000D397A" w:rsidRDefault="000D397A" w:rsidP="00581814">
            <w:pPr>
              <w:widowControl w:val="0"/>
              <w:spacing w:line="240" w:lineRule="auto"/>
              <w:rPr>
                <w:rFonts w:ascii="Lato" w:eastAsia="Lato" w:hAnsi="Lato" w:cs="Lato"/>
              </w:rPr>
            </w:pPr>
          </w:p>
        </w:tc>
      </w:tr>
      <w:tr w:rsidR="000D397A" w14:paraId="469D0B18" w14:textId="77777777" w:rsidTr="00581814">
        <w:trPr>
          <w:trHeight w:val="420"/>
        </w:trPr>
        <w:tc>
          <w:tcPr>
            <w:tcW w:w="855" w:type="dxa"/>
            <w:vMerge w:val="restart"/>
            <w:shd w:val="clear" w:color="auto" w:fill="auto"/>
            <w:tcMar>
              <w:top w:w="100" w:type="dxa"/>
              <w:left w:w="100" w:type="dxa"/>
              <w:bottom w:w="100" w:type="dxa"/>
              <w:right w:w="100" w:type="dxa"/>
            </w:tcMar>
          </w:tcPr>
          <w:p w14:paraId="3F8F8C5F" w14:textId="77777777" w:rsidR="000D397A" w:rsidRDefault="000D397A" w:rsidP="00581814">
            <w:pPr>
              <w:widowControl w:val="0"/>
              <w:spacing w:line="240" w:lineRule="auto"/>
              <w:rPr>
                <w:rFonts w:ascii="Lato" w:eastAsia="Lato" w:hAnsi="Lato" w:cs="Lato"/>
              </w:rPr>
            </w:pPr>
            <w:r>
              <w:rPr>
                <w:rFonts w:ascii="Lato" w:eastAsia="Lato" w:hAnsi="Lato" w:cs="Lato"/>
              </w:rPr>
              <w:t>[3]</w:t>
            </w:r>
          </w:p>
        </w:tc>
        <w:tc>
          <w:tcPr>
            <w:tcW w:w="11925" w:type="dxa"/>
            <w:shd w:val="clear" w:color="auto" w:fill="auto"/>
            <w:tcMar>
              <w:top w:w="100" w:type="dxa"/>
              <w:left w:w="100" w:type="dxa"/>
              <w:bottom w:w="100" w:type="dxa"/>
              <w:right w:w="100" w:type="dxa"/>
            </w:tcMar>
          </w:tcPr>
          <w:p w14:paraId="0108DF79" w14:textId="77777777" w:rsidR="000D397A" w:rsidRDefault="000D397A" w:rsidP="00581814">
            <w:pPr>
              <w:widowControl w:val="0"/>
              <w:spacing w:line="240" w:lineRule="auto"/>
              <w:rPr>
                <w:rFonts w:ascii="Lato" w:eastAsia="Lato" w:hAnsi="Lato" w:cs="Lato"/>
              </w:rPr>
            </w:pPr>
            <w:r>
              <w:rPr>
                <w:rFonts w:ascii="Lato" w:eastAsia="Lato" w:hAnsi="Lato" w:cs="Lato"/>
              </w:rPr>
              <w:t xml:space="preserve">'High silicon (Si) electrical steel has the potential for efficient use in applications such as electrical motors and generators with cost-effective in processing, but it is difficult to manufacture. Increasing the Si content beyond 3 wt.% improves magnetic and electrical properties, with 6.5 wt.% being achievable. The main goal of this research is to design, develop, and implement a scalable additive manufacturing process to fabricate </w:t>
            </w:r>
            <w:r>
              <w:rPr>
                <w:rFonts w:ascii="Lato" w:eastAsia="Lato" w:hAnsi="Lato" w:cs="Lato"/>
                <w:highlight w:val="yellow"/>
              </w:rPr>
              <w:t>Fe with 6.5 wt.% Si (Fe-6Si)</w:t>
            </w:r>
            <w:r>
              <w:rPr>
                <w:rFonts w:ascii="Lato" w:eastAsia="Lato" w:hAnsi="Lato" w:cs="Lato"/>
              </w:rPr>
              <w:t xml:space="preserve"> steel with high magnetic permeability, high electrical resistivity, low coercivity, and low residual induction that other methods cannot achieve because of manufacturing limitations. Binder jet additive manufacturing was used to deposit near net shape components that were subsequently sintered via solid-state sintering to achieve near full densification. Here, it is shown that the use of solid-state sintering mitigates cracking since no rapid solidification occurs unlike fusion-based additive technologies. The </w:t>
            </w:r>
            <w:r>
              <w:rPr>
                <w:rFonts w:ascii="Lato" w:eastAsia="Lato" w:hAnsi="Lato" w:cs="Lato"/>
                <w:highlight w:val="yellow"/>
              </w:rPr>
              <w:t>Fe-6Si</w:t>
            </w:r>
            <w:r>
              <w:rPr>
                <w:rFonts w:ascii="Cardo" w:eastAsia="Cardo" w:hAnsi="Cardo" w:cs="Cardo"/>
              </w:rPr>
              <w:t xml:space="preserve"> samples demonstrated an ultimate tensile strength of 434 MPa, electrical resistivity of 98 </w:t>
            </w:r>
            <w:proofErr w:type="spellStart"/>
            <w:r>
              <w:rPr>
                <w:rFonts w:ascii="Cardo" w:eastAsia="Cardo" w:hAnsi="Cardo" w:cs="Cardo"/>
              </w:rPr>
              <w:t>μΩ</w:t>
            </w:r>
            <w:proofErr w:type="spellEnd"/>
            <w:r>
              <w:rPr>
                <w:rFonts w:ascii="Cardo" w:eastAsia="Cardo" w:hAnsi="Cardo" w:cs="Cardo"/>
              </w:rPr>
              <w:t xml:space="preserve"> cm, </w:t>
            </w:r>
            <w:r>
              <w:rPr>
                <w:rFonts w:ascii="Lato" w:eastAsia="Lato" w:hAnsi="Lato" w:cs="Lato"/>
                <w:highlight w:val="green"/>
              </w:rPr>
              <w:t>and saturation magnetization of 1.83 T</w:t>
            </w:r>
            <w:r>
              <w:rPr>
                <w:rFonts w:ascii="Lato" w:eastAsia="Lato" w:hAnsi="Lato" w:cs="Lato"/>
              </w:rPr>
              <w:t xml:space="preserve"> with low coercivity and high permeability. The results strongly </w:t>
            </w:r>
            <w:proofErr w:type="gramStart"/>
            <w:r>
              <w:rPr>
                <w:rFonts w:ascii="Lato" w:eastAsia="Lato" w:hAnsi="Lato" w:cs="Lato"/>
              </w:rPr>
              <w:t>supports</w:t>
            </w:r>
            <w:proofErr w:type="gramEnd"/>
            <w:r>
              <w:rPr>
                <w:rFonts w:ascii="Lato" w:eastAsia="Lato" w:hAnsi="Lato" w:cs="Lato"/>
              </w:rPr>
              <w:t xml:space="preserve"> to replace the only available 0.1 mm thick chemical vapor deposition (CVD) produced Si steel using the cost effective AM method with good mechanical and magnetic properties for motor applications.'</w:t>
            </w:r>
          </w:p>
        </w:tc>
        <w:tc>
          <w:tcPr>
            <w:tcW w:w="1680" w:type="dxa"/>
            <w:vMerge w:val="restart"/>
            <w:shd w:val="clear" w:color="auto" w:fill="auto"/>
            <w:tcMar>
              <w:top w:w="100" w:type="dxa"/>
              <w:left w:w="100" w:type="dxa"/>
              <w:bottom w:w="100" w:type="dxa"/>
              <w:right w:w="100" w:type="dxa"/>
            </w:tcMar>
          </w:tcPr>
          <w:p w14:paraId="4C71D8F5" w14:textId="77777777" w:rsidR="000D397A" w:rsidRDefault="000D397A" w:rsidP="00581814">
            <w:pPr>
              <w:widowControl w:val="0"/>
              <w:spacing w:line="240" w:lineRule="auto"/>
              <w:rPr>
                <w:rFonts w:ascii="Lato" w:eastAsia="Lato" w:hAnsi="Lato" w:cs="Lato"/>
              </w:rPr>
            </w:pPr>
            <w:r>
              <w:rPr>
                <w:rFonts w:ascii="Lato" w:eastAsia="Lato" w:hAnsi="Lato" w:cs="Lato"/>
              </w:rPr>
              <w:t xml:space="preserve">Composition </w:t>
            </w:r>
            <w:proofErr w:type="gramStart"/>
            <w:r>
              <w:rPr>
                <w:rFonts w:ascii="Lato" w:eastAsia="Lato" w:hAnsi="Lato" w:cs="Lato"/>
              </w:rPr>
              <w:t>recognised,</w:t>
            </w:r>
            <w:proofErr w:type="gramEnd"/>
            <w:r>
              <w:rPr>
                <w:rFonts w:ascii="Lato" w:eastAsia="Lato" w:hAnsi="Lato" w:cs="Lato"/>
              </w:rPr>
              <w:t xml:space="preserve"> saturation magnetisation picked up correctly</w:t>
            </w:r>
          </w:p>
        </w:tc>
      </w:tr>
      <w:tr w:rsidR="000D397A" w14:paraId="7B8C9B35" w14:textId="77777777" w:rsidTr="00581814">
        <w:trPr>
          <w:trHeight w:val="420"/>
        </w:trPr>
        <w:tc>
          <w:tcPr>
            <w:tcW w:w="855" w:type="dxa"/>
            <w:vMerge/>
            <w:shd w:val="clear" w:color="auto" w:fill="auto"/>
            <w:tcMar>
              <w:top w:w="100" w:type="dxa"/>
              <w:left w:w="100" w:type="dxa"/>
              <w:bottom w:w="100" w:type="dxa"/>
              <w:right w:w="100" w:type="dxa"/>
            </w:tcMar>
          </w:tcPr>
          <w:p w14:paraId="11BF5FBA"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75C82B66"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6AC73391" wp14:editId="77123F1A">
                  <wp:extent cx="1295400" cy="1533525"/>
                  <wp:effectExtent l="0" t="0" r="0" b="0"/>
                  <wp:docPr id="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295400" cy="1533525"/>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1B35D72D" w14:textId="77777777" w:rsidR="000D397A" w:rsidRDefault="000D397A" w:rsidP="00581814">
            <w:pPr>
              <w:widowControl w:val="0"/>
              <w:spacing w:line="240" w:lineRule="auto"/>
              <w:rPr>
                <w:rFonts w:ascii="Lato" w:eastAsia="Lato" w:hAnsi="Lato" w:cs="Lato"/>
              </w:rPr>
            </w:pPr>
          </w:p>
        </w:tc>
      </w:tr>
      <w:tr w:rsidR="000D397A" w14:paraId="2BCA8697" w14:textId="77777777" w:rsidTr="00581814">
        <w:trPr>
          <w:trHeight w:val="420"/>
        </w:trPr>
        <w:tc>
          <w:tcPr>
            <w:tcW w:w="855" w:type="dxa"/>
            <w:vMerge w:val="restart"/>
            <w:shd w:val="clear" w:color="auto" w:fill="auto"/>
            <w:tcMar>
              <w:top w:w="100" w:type="dxa"/>
              <w:left w:w="100" w:type="dxa"/>
              <w:bottom w:w="100" w:type="dxa"/>
              <w:right w:w="100" w:type="dxa"/>
            </w:tcMar>
          </w:tcPr>
          <w:p w14:paraId="5C2B337E" w14:textId="77777777" w:rsidR="000D397A" w:rsidRDefault="000D397A" w:rsidP="00581814">
            <w:pPr>
              <w:widowControl w:val="0"/>
              <w:spacing w:line="240" w:lineRule="auto"/>
              <w:rPr>
                <w:rFonts w:ascii="Lato" w:eastAsia="Lato" w:hAnsi="Lato" w:cs="Lato"/>
              </w:rPr>
            </w:pPr>
            <w:r>
              <w:rPr>
                <w:rFonts w:ascii="Lato" w:eastAsia="Lato" w:hAnsi="Lato" w:cs="Lato"/>
              </w:rPr>
              <w:t>[4]</w:t>
            </w:r>
          </w:p>
        </w:tc>
        <w:tc>
          <w:tcPr>
            <w:tcW w:w="11925" w:type="dxa"/>
            <w:shd w:val="clear" w:color="auto" w:fill="auto"/>
            <w:tcMar>
              <w:top w:w="100" w:type="dxa"/>
              <w:left w:w="100" w:type="dxa"/>
              <w:bottom w:w="100" w:type="dxa"/>
              <w:right w:w="100" w:type="dxa"/>
            </w:tcMar>
          </w:tcPr>
          <w:p w14:paraId="006350B4" w14:textId="77777777" w:rsidR="000D397A" w:rsidRDefault="000D397A" w:rsidP="00581814">
            <w:pPr>
              <w:widowControl w:val="0"/>
              <w:spacing w:line="240" w:lineRule="auto"/>
              <w:rPr>
                <w:rFonts w:ascii="Lato" w:eastAsia="Lato" w:hAnsi="Lato" w:cs="Lato"/>
              </w:rPr>
            </w:pPr>
            <w:r>
              <w:rPr>
                <w:rFonts w:ascii="Lato" w:eastAsia="Lato" w:hAnsi="Lato" w:cs="Lato"/>
              </w:rPr>
              <w:t xml:space="preserve">'In this paper, a single phase </w:t>
            </w:r>
            <w:r>
              <w:rPr>
                <w:rFonts w:ascii="Cardo" w:eastAsia="Cardo" w:hAnsi="Cardo" w:cs="Cardo"/>
                <w:highlight w:val="yellow"/>
              </w:rPr>
              <w:t>ε-</w:t>
            </w:r>
            <w:proofErr w:type="gramStart"/>
            <w:r>
              <w:rPr>
                <w:rFonts w:ascii="Cardo" w:eastAsia="Cardo" w:hAnsi="Cardo" w:cs="Cardo"/>
                <w:highlight w:val="yellow"/>
              </w:rPr>
              <w:t>Fe(</w:t>
            </w:r>
            <w:proofErr w:type="gramEnd"/>
            <w:r>
              <w:rPr>
                <w:rFonts w:ascii="Cardo" w:eastAsia="Cardo" w:hAnsi="Cardo" w:cs="Cardo"/>
                <w:highlight w:val="yellow"/>
              </w:rPr>
              <w:t>Si)₃N</w:t>
            </w:r>
            <w:r>
              <w:rPr>
                <w:rFonts w:ascii="Andika" w:eastAsia="Andika" w:hAnsi="Andika" w:cs="Andika"/>
              </w:rPr>
              <w:t xml:space="preserve"> powder was successfully synthesized through the salt bath nitriding reaction method. The flaky </w:t>
            </w:r>
            <w:proofErr w:type="spellStart"/>
            <w:r>
              <w:rPr>
                <w:rFonts w:ascii="Andika" w:eastAsia="Andika" w:hAnsi="Andika" w:cs="Andika"/>
              </w:rPr>
              <w:t>FeSi</w:t>
            </w:r>
            <w:proofErr w:type="spellEnd"/>
            <w:r>
              <w:rPr>
                <w:rFonts w:ascii="Andika" w:eastAsia="Andika" w:hAnsi="Andika" w:cs="Andika"/>
              </w:rPr>
              <w:t xml:space="preserve"> alloy powder was used as the iron source, and non-toxic CO(NH</w:t>
            </w:r>
            <w:proofErr w:type="gramStart"/>
            <w:r>
              <w:rPr>
                <w:rFonts w:ascii="Andika" w:eastAsia="Andika" w:hAnsi="Andika" w:cs="Andika"/>
              </w:rPr>
              <w:t>₂)₂</w:t>
            </w:r>
            <w:proofErr w:type="gramEnd"/>
            <w:r>
              <w:rPr>
                <w:rFonts w:ascii="Andika" w:eastAsia="Andika" w:hAnsi="Andika" w:cs="Andika"/>
              </w:rPr>
              <w:t xml:space="preserve"> was used as the nitrogen source. The nitridation mechanism, the preparation technology, the soft magnetic properties, and the magnetization temperature dependence of the powder were studied. The research result showed that ε-</w:t>
            </w:r>
            <w:proofErr w:type="gramStart"/>
            <w:r>
              <w:rPr>
                <w:rFonts w:ascii="Andika" w:eastAsia="Andika" w:hAnsi="Andika" w:cs="Andika"/>
              </w:rPr>
              <w:t>Fe(</w:t>
            </w:r>
            <w:proofErr w:type="gramEnd"/>
            <w:r>
              <w:rPr>
                <w:rFonts w:ascii="Andika" w:eastAsia="Andika" w:hAnsi="Andika" w:cs="Andika"/>
              </w:rPr>
              <w:t xml:space="preserve">Si)₃N alloy powders were synthesized in a high temperature nitrification system after the surface of flaky </w:t>
            </w:r>
            <w:proofErr w:type="spellStart"/>
            <w:r>
              <w:rPr>
                <w:rFonts w:ascii="Andika" w:eastAsia="Andika" w:hAnsi="Andika" w:cs="Andika"/>
              </w:rPr>
              <w:t>FeSi</w:t>
            </w:r>
            <w:proofErr w:type="spellEnd"/>
            <w:r>
              <w:rPr>
                <w:rFonts w:ascii="Andika" w:eastAsia="Andika" w:hAnsi="Andika" w:cs="Andika"/>
              </w:rPr>
              <w:t xml:space="preserve"> alloy powders were activated by a high-energy ball mill. The optimum nitriding process was nitridation for 1 h at 550 °C. The ε-</w:t>
            </w:r>
            <w:proofErr w:type="gramStart"/>
            <w:r>
              <w:rPr>
                <w:rFonts w:ascii="Andika" w:eastAsia="Andika" w:hAnsi="Andika" w:cs="Andika"/>
              </w:rPr>
              <w:t>Fe(</w:t>
            </w:r>
            <w:proofErr w:type="gramEnd"/>
            <w:r>
              <w:rPr>
                <w:rFonts w:ascii="Andika" w:eastAsia="Andika" w:hAnsi="Andika" w:cs="Andika"/>
              </w:rPr>
              <w:t>Si)₃N powder had good thermal stability at less than 478.8 °C. It was shown that ε-</w:t>
            </w:r>
            <w:proofErr w:type="gramStart"/>
            <w:r>
              <w:rPr>
                <w:rFonts w:ascii="Andika" w:eastAsia="Andika" w:hAnsi="Andika" w:cs="Andika"/>
              </w:rPr>
              <w:t>Fe(</w:t>
            </w:r>
            <w:proofErr w:type="gramEnd"/>
            <w:r>
              <w:rPr>
                <w:rFonts w:ascii="Andika" w:eastAsia="Andika" w:hAnsi="Andika" w:cs="Andika"/>
              </w:rPr>
              <w:t xml:space="preserve">Si)₃N powder has good soft magnetic properties, and </w:t>
            </w:r>
            <w:r>
              <w:rPr>
                <w:rFonts w:ascii="Lato" w:eastAsia="Lato" w:hAnsi="Lato" w:cs="Lato"/>
                <w:highlight w:val="green"/>
              </w:rPr>
              <w:t>the saturation magnetization of the powder was up to 139 emu/g.</w:t>
            </w:r>
            <w:r>
              <w:rPr>
                <w:rFonts w:ascii="Cardo" w:eastAsia="Cardo" w:hAnsi="Cardo" w:cs="Cardo"/>
              </w:rPr>
              <w:t xml:space="preserve"> The saturation magnetization of ε-</w:t>
            </w:r>
            <w:proofErr w:type="gramStart"/>
            <w:r>
              <w:rPr>
                <w:rFonts w:ascii="Cardo" w:eastAsia="Cardo" w:hAnsi="Cardo" w:cs="Cardo"/>
              </w:rPr>
              <w:t>Fe(</w:t>
            </w:r>
            <w:proofErr w:type="gramEnd"/>
            <w:r>
              <w:rPr>
                <w:rFonts w:ascii="Cardo" w:eastAsia="Cardo" w:hAnsi="Cardo" w:cs="Cardo"/>
              </w:rPr>
              <w:t>Si)₃N powder remains basically constant in the temperature range of 300⁻400 K. In the temperature range of 400⁻600 K, the saturation magnetization decreases slightly with the increase of temperature, indicating that the magnetic ε-</w:t>
            </w:r>
            <w:proofErr w:type="gramStart"/>
            <w:r>
              <w:rPr>
                <w:rFonts w:ascii="Cardo" w:eastAsia="Cardo" w:hAnsi="Cardo" w:cs="Cardo"/>
              </w:rPr>
              <w:t>Fe(</w:t>
            </w:r>
            <w:proofErr w:type="gramEnd"/>
            <w:r>
              <w:rPr>
                <w:rFonts w:ascii="Cardo" w:eastAsia="Cardo" w:hAnsi="Cardo" w:cs="Cardo"/>
              </w:rPr>
              <w:t>Si)₃N powder has good magnetization temperature dependence.'</w:t>
            </w:r>
          </w:p>
        </w:tc>
        <w:tc>
          <w:tcPr>
            <w:tcW w:w="1680" w:type="dxa"/>
            <w:vMerge w:val="restart"/>
            <w:shd w:val="clear" w:color="auto" w:fill="auto"/>
            <w:tcMar>
              <w:top w:w="100" w:type="dxa"/>
              <w:left w:w="100" w:type="dxa"/>
              <w:bottom w:w="100" w:type="dxa"/>
              <w:right w:w="100" w:type="dxa"/>
            </w:tcMar>
          </w:tcPr>
          <w:p w14:paraId="7D1BBA64" w14:textId="77777777" w:rsidR="000D397A" w:rsidRDefault="000D397A" w:rsidP="00581814">
            <w:pPr>
              <w:widowControl w:val="0"/>
              <w:spacing w:line="240" w:lineRule="auto"/>
              <w:rPr>
                <w:rFonts w:ascii="Lato" w:eastAsia="Lato" w:hAnsi="Lato" w:cs="Lato"/>
              </w:rPr>
            </w:pPr>
            <w:r>
              <w:rPr>
                <w:rFonts w:ascii="Lato" w:eastAsia="Lato" w:hAnsi="Lato" w:cs="Lato"/>
              </w:rPr>
              <w:t xml:space="preserve">Composition </w:t>
            </w:r>
            <w:proofErr w:type="gramStart"/>
            <w:r>
              <w:rPr>
                <w:rFonts w:ascii="Lato" w:eastAsia="Lato" w:hAnsi="Lato" w:cs="Lato"/>
              </w:rPr>
              <w:t>recognised,</w:t>
            </w:r>
            <w:proofErr w:type="gramEnd"/>
            <w:r>
              <w:rPr>
                <w:rFonts w:ascii="Lato" w:eastAsia="Lato" w:hAnsi="Lato" w:cs="Lato"/>
              </w:rPr>
              <w:t xml:space="preserve"> saturation magnetisation picked up correctly</w:t>
            </w:r>
          </w:p>
        </w:tc>
      </w:tr>
      <w:tr w:rsidR="000D397A" w14:paraId="72FAADBF" w14:textId="77777777" w:rsidTr="00581814">
        <w:trPr>
          <w:trHeight w:val="420"/>
        </w:trPr>
        <w:tc>
          <w:tcPr>
            <w:tcW w:w="855" w:type="dxa"/>
            <w:vMerge/>
            <w:shd w:val="clear" w:color="auto" w:fill="auto"/>
            <w:tcMar>
              <w:top w:w="100" w:type="dxa"/>
              <w:left w:w="100" w:type="dxa"/>
              <w:bottom w:w="100" w:type="dxa"/>
              <w:right w:w="100" w:type="dxa"/>
            </w:tcMar>
          </w:tcPr>
          <w:p w14:paraId="139A2540"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1B93CC4A"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120BCB59" wp14:editId="6984D565">
                  <wp:extent cx="1781175" cy="15240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81175" cy="1524000"/>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1010E3AA" w14:textId="77777777" w:rsidR="000D397A" w:rsidRDefault="000D397A" w:rsidP="00581814">
            <w:pPr>
              <w:widowControl w:val="0"/>
              <w:spacing w:line="240" w:lineRule="auto"/>
              <w:rPr>
                <w:rFonts w:ascii="Lato" w:eastAsia="Lato" w:hAnsi="Lato" w:cs="Lato"/>
              </w:rPr>
            </w:pPr>
          </w:p>
        </w:tc>
      </w:tr>
      <w:tr w:rsidR="000D397A" w14:paraId="2AD191E0" w14:textId="77777777" w:rsidTr="00581814">
        <w:trPr>
          <w:trHeight w:val="420"/>
        </w:trPr>
        <w:tc>
          <w:tcPr>
            <w:tcW w:w="855" w:type="dxa"/>
            <w:vMerge w:val="restart"/>
            <w:shd w:val="clear" w:color="auto" w:fill="auto"/>
            <w:tcMar>
              <w:top w:w="100" w:type="dxa"/>
              <w:left w:w="100" w:type="dxa"/>
              <w:bottom w:w="100" w:type="dxa"/>
              <w:right w:w="100" w:type="dxa"/>
            </w:tcMar>
          </w:tcPr>
          <w:p w14:paraId="15E8730C" w14:textId="77777777" w:rsidR="000D397A" w:rsidRDefault="000D397A" w:rsidP="00581814">
            <w:pPr>
              <w:widowControl w:val="0"/>
              <w:spacing w:line="240" w:lineRule="auto"/>
              <w:rPr>
                <w:rFonts w:ascii="Lato" w:eastAsia="Lato" w:hAnsi="Lato" w:cs="Lato"/>
              </w:rPr>
            </w:pPr>
            <w:r>
              <w:rPr>
                <w:rFonts w:ascii="Lato" w:eastAsia="Lato" w:hAnsi="Lato" w:cs="Lato"/>
              </w:rPr>
              <w:t>[5]</w:t>
            </w:r>
          </w:p>
        </w:tc>
        <w:tc>
          <w:tcPr>
            <w:tcW w:w="11925" w:type="dxa"/>
            <w:shd w:val="clear" w:color="auto" w:fill="auto"/>
            <w:tcMar>
              <w:top w:w="100" w:type="dxa"/>
              <w:left w:w="100" w:type="dxa"/>
              <w:bottom w:w="100" w:type="dxa"/>
              <w:right w:w="100" w:type="dxa"/>
            </w:tcMar>
          </w:tcPr>
          <w:p w14:paraId="1192542D" w14:textId="77777777" w:rsidR="000D397A" w:rsidRDefault="000D397A" w:rsidP="00581814">
            <w:pPr>
              <w:widowControl w:val="0"/>
              <w:spacing w:line="240" w:lineRule="auto"/>
              <w:rPr>
                <w:rFonts w:ascii="Lato" w:eastAsia="Lato" w:hAnsi="Lato" w:cs="Lato"/>
              </w:rPr>
            </w:pPr>
            <w:r>
              <w:rPr>
                <w:rFonts w:ascii="Lato" w:eastAsia="Lato" w:hAnsi="Lato" w:cs="Lato"/>
              </w:rPr>
              <w:t xml:space="preserve">'The soft magnetic properties of Fe-based nanocrystalline alloys are determined by their grain size. In the present article, </w:t>
            </w:r>
            <w:r>
              <w:rPr>
                <w:rFonts w:ascii="Lato" w:eastAsia="Lato" w:hAnsi="Lato" w:cs="Lato"/>
              </w:rPr>
              <w:lastRenderedPageBreak/>
              <w:t xml:space="preserve">the </w:t>
            </w:r>
            <w:r>
              <w:rPr>
                <w:rFonts w:ascii="Andika" w:eastAsia="Andika" w:hAnsi="Andika" w:cs="Andika"/>
                <w:highlight w:val="yellow"/>
              </w:rPr>
              <w:t>(Fe0.4Co0.6)79Nb₃B18</w:t>
            </w:r>
            <w:r>
              <w:rPr>
                <w:rFonts w:ascii="Andika" w:eastAsia="Andika" w:hAnsi="Andika" w:cs="Andika"/>
              </w:rPr>
              <w:t xml:space="preserve"> nanocrystalline alloys have been successfully prepared by isothermal annealing. The variation of soft magnetic properties as a function of annealing temperature and incubation time is investigated in detail. Two distinct crystallization </w:t>
            </w:r>
            <w:proofErr w:type="spellStart"/>
            <w:r>
              <w:rPr>
                <w:rFonts w:ascii="Andika" w:eastAsia="Andika" w:hAnsi="Andika" w:cs="Andika"/>
              </w:rPr>
              <w:t>behaviors</w:t>
            </w:r>
            <w:proofErr w:type="spellEnd"/>
            <w:r>
              <w:rPr>
                <w:rFonts w:ascii="Andika" w:eastAsia="Andika" w:hAnsi="Andika" w:cs="Andika"/>
              </w:rPr>
              <w:t xml:space="preserve"> were found for the (Fe0.4Co0.6)79Nb₃B18 alloys. The initial </w:t>
            </w:r>
            <w:proofErr w:type="spellStart"/>
            <w:r>
              <w:rPr>
                <w:rFonts w:ascii="Andika" w:eastAsia="Andika" w:hAnsi="Andika" w:cs="Andika"/>
              </w:rPr>
              <w:t>nanocrystallization</w:t>
            </w:r>
            <w:proofErr w:type="spellEnd"/>
            <w:r>
              <w:rPr>
                <w:rFonts w:ascii="Andika" w:eastAsia="Andika" w:hAnsi="Andika" w:cs="Andika"/>
              </w:rPr>
              <w:t xml:space="preserve"> products comprise a mixture of α-</w:t>
            </w:r>
            <w:proofErr w:type="gramStart"/>
            <w:r>
              <w:rPr>
                <w:rFonts w:ascii="Andika" w:eastAsia="Andika" w:hAnsi="Andika" w:cs="Andika"/>
              </w:rPr>
              <w:t>Fe(</w:t>
            </w:r>
            <w:proofErr w:type="gramEnd"/>
            <w:r>
              <w:rPr>
                <w:rFonts w:ascii="Andika" w:eastAsia="Andika" w:hAnsi="Andika" w:cs="Andika"/>
              </w:rPr>
              <w:t xml:space="preserve">Co), </w:t>
            </w:r>
            <w:proofErr w:type="spellStart"/>
            <w:r>
              <w:rPr>
                <w:rFonts w:ascii="Andika" w:eastAsia="Andika" w:hAnsi="Andika" w:cs="Andika"/>
              </w:rPr>
              <w:t>Fe₂B</w:t>
            </w:r>
            <w:proofErr w:type="spellEnd"/>
            <w:r>
              <w:rPr>
                <w:rFonts w:ascii="Andika" w:eastAsia="Andika" w:hAnsi="Andika" w:cs="Andika"/>
              </w:rPr>
              <w:t xml:space="preserve">, and Fe23B₆-type crystalline metastable phases, and the final crystallization products are composed of α-Fe(Co), </w:t>
            </w:r>
            <w:proofErr w:type="spellStart"/>
            <w:r>
              <w:rPr>
                <w:rFonts w:ascii="Andika" w:eastAsia="Andika" w:hAnsi="Andika" w:cs="Andika"/>
              </w:rPr>
              <w:t>Fe₂B</w:t>
            </w:r>
            <w:proofErr w:type="spellEnd"/>
            <w:r>
              <w:rPr>
                <w:rFonts w:ascii="Andika" w:eastAsia="Andika" w:hAnsi="Andika" w:cs="Andika"/>
              </w:rPr>
              <w:t xml:space="preserve">, and </w:t>
            </w:r>
            <w:proofErr w:type="spellStart"/>
            <w:r>
              <w:rPr>
                <w:rFonts w:ascii="Andika" w:eastAsia="Andika" w:hAnsi="Andika" w:cs="Andika"/>
              </w:rPr>
              <w:t>Fe₃B</w:t>
            </w:r>
            <w:proofErr w:type="spellEnd"/>
            <w:r>
              <w:rPr>
                <w:rFonts w:ascii="Andika" w:eastAsia="Andika" w:hAnsi="Andika" w:cs="Andika"/>
              </w:rPr>
              <w:t xml:space="preserve"> crystalline phases. The grain size decreases first and then increases with the increasing annealing temperature in the range of 764⁻1151 K, and a fine grain size with mean grain size of 12.7 nm can be achieved for alloys annealed at 880 K. As the annealing temperature increases from 764 K to 1151 K, the saturation magnetization increases first and then decreases without a significant increase of the coercivity. The alloys annealed at 880 K exhibit the optimized soft magnetic properties </w:t>
            </w:r>
            <w:r>
              <w:rPr>
                <w:rFonts w:ascii="Lato" w:eastAsia="Lato" w:hAnsi="Lato" w:cs="Lato"/>
                <w:highlight w:val="green"/>
              </w:rPr>
              <w:t>with high Ms of 145 emu g-1</w:t>
            </w:r>
            <w:r>
              <w:rPr>
                <w:rFonts w:ascii="Lato" w:eastAsia="Lato" w:hAnsi="Lato" w:cs="Lato"/>
              </w:rPr>
              <w:t xml:space="preserve"> and </w:t>
            </w:r>
            <w:r>
              <w:rPr>
                <w:rFonts w:ascii="Lato" w:eastAsia="Lato" w:hAnsi="Lato" w:cs="Lato"/>
                <w:highlight w:val="cyan"/>
              </w:rPr>
              <w:t xml:space="preserve">low </w:t>
            </w:r>
            <w:proofErr w:type="spellStart"/>
            <w:r>
              <w:rPr>
                <w:rFonts w:ascii="Lato" w:eastAsia="Lato" w:hAnsi="Lato" w:cs="Lato"/>
                <w:highlight w:val="cyan"/>
              </w:rPr>
              <w:t>Hc</w:t>
            </w:r>
            <w:proofErr w:type="spellEnd"/>
            <w:r>
              <w:rPr>
                <w:rFonts w:ascii="Lato" w:eastAsia="Lato" w:hAnsi="Lato" w:cs="Lato"/>
                <w:highlight w:val="cyan"/>
              </w:rPr>
              <w:t xml:space="preserve"> of 0.04 </w:t>
            </w:r>
            <w:proofErr w:type="spellStart"/>
            <w:r>
              <w:rPr>
                <w:rFonts w:ascii="Lato" w:eastAsia="Lato" w:hAnsi="Lato" w:cs="Lato"/>
                <w:highlight w:val="cyan"/>
              </w:rPr>
              <w:t>Oe</w:t>
            </w:r>
            <w:proofErr w:type="spellEnd"/>
            <w:r>
              <w:rPr>
                <w:rFonts w:ascii="Lato" w:eastAsia="Lato" w:hAnsi="Lato" w:cs="Lato"/>
                <w:highlight w:val="cyan"/>
              </w:rPr>
              <w:t>.</w:t>
            </w:r>
            <w:r>
              <w:rPr>
                <w:rFonts w:ascii="Lato" w:eastAsia="Lato" w:hAnsi="Lato" w:cs="Lato"/>
              </w:rPr>
              <w:t>'</w:t>
            </w:r>
          </w:p>
        </w:tc>
        <w:tc>
          <w:tcPr>
            <w:tcW w:w="1680" w:type="dxa"/>
            <w:vMerge w:val="restart"/>
            <w:shd w:val="clear" w:color="auto" w:fill="auto"/>
            <w:tcMar>
              <w:top w:w="100" w:type="dxa"/>
              <w:left w:w="100" w:type="dxa"/>
              <w:bottom w:w="100" w:type="dxa"/>
              <w:right w:w="100" w:type="dxa"/>
            </w:tcMar>
          </w:tcPr>
          <w:p w14:paraId="35B3FA65" w14:textId="77777777" w:rsidR="000D397A" w:rsidRDefault="000D397A" w:rsidP="00581814">
            <w:pPr>
              <w:widowControl w:val="0"/>
              <w:spacing w:line="240" w:lineRule="auto"/>
              <w:rPr>
                <w:rFonts w:ascii="Lato" w:eastAsia="Lato" w:hAnsi="Lato" w:cs="Lato"/>
              </w:rPr>
            </w:pPr>
            <w:r>
              <w:rPr>
                <w:rFonts w:ascii="Lato" w:eastAsia="Lato" w:hAnsi="Lato" w:cs="Lato"/>
              </w:rPr>
              <w:lastRenderedPageBreak/>
              <w:t xml:space="preserve">Composition </w:t>
            </w:r>
            <w:r>
              <w:rPr>
                <w:rFonts w:ascii="Lato" w:eastAsia="Lato" w:hAnsi="Lato" w:cs="Lato"/>
              </w:rPr>
              <w:lastRenderedPageBreak/>
              <w:t>recognised.</w:t>
            </w:r>
          </w:p>
          <w:p w14:paraId="5499C96F" w14:textId="77777777" w:rsidR="000D397A" w:rsidRDefault="000D397A" w:rsidP="00581814">
            <w:pPr>
              <w:widowControl w:val="0"/>
              <w:spacing w:line="240" w:lineRule="auto"/>
              <w:rPr>
                <w:rFonts w:ascii="Lato" w:eastAsia="Lato" w:hAnsi="Lato" w:cs="Lato"/>
              </w:rPr>
            </w:pPr>
            <w:r>
              <w:rPr>
                <w:rFonts w:ascii="Andika" w:eastAsia="Andika" w:hAnsi="Andika" w:cs="Andika"/>
              </w:rPr>
              <w:t>Values of saturation magnetisation and coercivity recognised, but no composition linked to these values. By elimination, it may be determined that it is (Fe0.4Co0.6)79Nb₃B18</w:t>
            </w:r>
          </w:p>
        </w:tc>
      </w:tr>
      <w:tr w:rsidR="000D397A" w14:paraId="50B24346" w14:textId="77777777" w:rsidTr="00581814">
        <w:trPr>
          <w:trHeight w:val="420"/>
        </w:trPr>
        <w:tc>
          <w:tcPr>
            <w:tcW w:w="855" w:type="dxa"/>
            <w:vMerge/>
            <w:shd w:val="clear" w:color="auto" w:fill="auto"/>
            <w:tcMar>
              <w:top w:w="100" w:type="dxa"/>
              <w:left w:w="100" w:type="dxa"/>
              <w:bottom w:w="100" w:type="dxa"/>
              <w:right w:w="100" w:type="dxa"/>
            </w:tcMar>
          </w:tcPr>
          <w:p w14:paraId="44D5FD17"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605B3677"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27FB6925" wp14:editId="72FD8808">
                  <wp:extent cx="2238375" cy="1504950"/>
                  <wp:effectExtent l="0" t="0" r="0" b="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238375" cy="1504950"/>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26456EA4" w14:textId="77777777" w:rsidR="000D397A" w:rsidRDefault="000D397A" w:rsidP="00581814">
            <w:pPr>
              <w:widowControl w:val="0"/>
              <w:spacing w:line="240" w:lineRule="auto"/>
              <w:rPr>
                <w:rFonts w:ascii="Lato" w:eastAsia="Lato" w:hAnsi="Lato" w:cs="Lato"/>
              </w:rPr>
            </w:pPr>
          </w:p>
        </w:tc>
      </w:tr>
      <w:tr w:rsidR="000D397A" w14:paraId="7DE07432" w14:textId="77777777" w:rsidTr="00581814">
        <w:trPr>
          <w:trHeight w:val="420"/>
        </w:trPr>
        <w:tc>
          <w:tcPr>
            <w:tcW w:w="855" w:type="dxa"/>
            <w:vMerge w:val="restart"/>
            <w:shd w:val="clear" w:color="auto" w:fill="auto"/>
            <w:tcMar>
              <w:top w:w="100" w:type="dxa"/>
              <w:left w:w="100" w:type="dxa"/>
              <w:bottom w:w="100" w:type="dxa"/>
              <w:right w:w="100" w:type="dxa"/>
            </w:tcMar>
          </w:tcPr>
          <w:p w14:paraId="61CBA906" w14:textId="77777777" w:rsidR="000D397A" w:rsidRDefault="000D397A" w:rsidP="00581814">
            <w:pPr>
              <w:widowControl w:val="0"/>
              <w:spacing w:line="240" w:lineRule="auto"/>
              <w:rPr>
                <w:rFonts w:ascii="Lato" w:eastAsia="Lato" w:hAnsi="Lato" w:cs="Lato"/>
              </w:rPr>
            </w:pPr>
            <w:r>
              <w:rPr>
                <w:rFonts w:ascii="Lato" w:eastAsia="Lato" w:hAnsi="Lato" w:cs="Lato"/>
              </w:rPr>
              <w:t>[6]</w:t>
            </w:r>
          </w:p>
        </w:tc>
        <w:tc>
          <w:tcPr>
            <w:tcW w:w="11925" w:type="dxa"/>
            <w:shd w:val="clear" w:color="auto" w:fill="auto"/>
            <w:tcMar>
              <w:top w:w="100" w:type="dxa"/>
              <w:left w:w="100" w:type="dxa"/>
              <w:bottom w:w="100" w:type="dxa"/>
              <w:right w:w="100" w:type="dxa"/>
            </w:tcMar>
          </w:tcPr>
          <w:p w14:paraId="5D2027CA" w14:textId="77777777" w:rsidR="000D397A" w:rsidRDefault="000D397A" w:rsidP="00581814">
            <w:pPr>
              <w:widowControl w:val="0"/>
              <w:spacing w:line="240" w:lineRule="auto"/>
              <w:rPr>
                <w:rFonts w:ascii="Lato" w:eastAsia="Lato" w:hAnsi="Lato" w:cs="Lato"/>
              </w:rPr>
            </w:pPr>
            <w:proofErr w:type="spellStart"/>
            <w:r>
              <w:rPr>
                <w:rFonts w:ascii="Lato" w:eastAsia="Lato" w:hAnsi="Lato" w:cs="Lato"/>
                <w:highlight w:val="yellow"/>
              </w:rPr>
              <w:t>FeSiBAlNi</w:t>
            </w:r>
            <w:proofErr w:type="spellEnd"/>
            <w:r>
              <w:rPr>
                <w:rFonts w:ascii="Lato" w:eastAsia="Lato" w:hAnsi="Lato" w:cs="Lato"/>
                <w:highlight w:val="yellow"/>
              </w:rPr>
              <w:t xml:space="preserve"> (W5), </w:t>
            </w:r>
            <w:proofErr w:type="spellStart"/>
            <w:r>
              <w:rPr>
                <w:rFonts w:ascii="Lato" w:eastAsia="Lato" w:hAnsi="Lato" w:cs="Lato"/>
                <w:highlight w:val="yellow"/>
              </w:rPr>
              <w:t>FeSiBAlNiCo</w:t>
            </w:r>
            <w:proofErr w:type="spellEnd"/>
            <w:r>
              <w:rPr>
                <w:rFonts w:ascii="Lato" w:eastAsia="Lato" w:hAnsi="Lato" w:cs="Lato"/>
                <w:highlight w:val="yellow"/>
              </w:rPr>
              <w:t xml:space="preserve"> (W6-Co), and </w:t>
            </w:r>
            <w:proofErr w:type="spellStart"/>
            <w:r>
              <w:rPr>
                <w:rFonts w:ascii="Lato" w:eastAsia="Lato" w:hAnsi="Lato" w:cs="Lato"/>
                <w:highlight w:val="yellow"/>
              </w:rPr>
              <w:t>FeSiBAlNiGd</w:t>
            </w:r>
            <w:proofErr w:type="spellEnd"/>
            <w:r>
              <w:rPr>
                <w:rFonts w:ascii="Lato" w:eastAsia="Lato" w:hAnsi="Lato" w:cs="Lato"/>
                <w:highlight w:val="yellow"/>
              </w:rPr>
              <w:t xml:space="preserve"> (W6-Gd)</w:t>
            </w:r>
            <w:r>
              <w:rPr>
                <w:rFonts w:ascii="Lato" w:eastAsia="Lato" w:hAnsi="Lato" w:cs="Lato"/>
              </w:rPr>
              <w:t xml:space="preserve"> high entropy alloys (HEAs) were prepared using a copper-</w:t>
            </w:r>
            <w:proofErr w:type="spellStart"/>
            <w:r>
              <w:rPr>
                <w:rFonts w:ascii="Lato" w:eastAsia="Lato" w:hAnsi="Lato" w:cs="Lato"/>
              </w:rPr>
              <w:t>mold</w:t>
            </w:r>
            <w:proofErr w:type="spellEnd"/>
            <w:r>
              <w:rPr>
                <w:rFonts w:ascii="Lato" w:eastAsia="Lato" w:hAnsi="Lato" w:cs="Lato"/>
              </w:rPr>
              <w:t xml:space="preserve"> casting method. Effects of Co and Gd additions combined with subsequent annealing on microstructures and magnetism were investigated. The as-cast W5 consists of BCC solid solution and </w:t>
            </w:r>
            <w:proofErr w:type="spellStart"/>
            <w:r>
              <w:rPr>
                <w:rFonts w:ascii="Lato" w:eastAsia="Lato" w:hAnsi="Lato" w:cs="Lato"/>
              </w:rPr>
              <w:t>FeSi</w:t>
            </w:r>
            <w:proofErr w:type="spellEnd"/>
            <w:r>
              <w:rPr>
                <w:rFonts w:ascii="Lato" w:eastAsia="Lato" w:hAnsi="Lato" w:cs="Lato"/>
              </w:rPr>
              <w:t>-rich phase. The Gd addition induces the formation of body-</w:t>
            </w:r>
            <w:proofErr w:type="spellStart"/>
            <w:r>
              <w:rPr>
                <w:rFonts w:ascii="Lato" w:eastAsia="Lato" w:hAnsi="Lato" w:cs="Lato"/>
              </w:rPr>
              <w:t>centered</w:t>
            </w:r>
            <w:proofErr w:type="spellEnd"/>
            <w:r>
              <w:rPr>
                <w:rFonts w:ascii="Lato" w:eastAsia="Lato" w:hAnsi="Lato" w:cs="Lato"/>
              </w:rPr>
              <w:t xml:space="preserve"> cubic (BCC) and face-</w:t>
            </w:r>
            <w:proofErr w:type="spellStart"/>
            <w:r>
              <w:rPr>
                <w:rFonts w:ascii="Lato" w:eastAsia="Lato" w:hAnsi="Lato" w:cs="Lato"/>
              </w:rPr>
              <w:t>centered</w:t>
            </w:r>
            <w:proofErr w:type="spellEnd"/>
            <w:r>
              <w:rPr>
                <w:rFonts w:ascii="Lato" w:eastAsia="Lato" w:hAnsi="Lato" w:cs="Lato"/>
              </w:rPr>
              <w:t xml:space="preserve"> cubic (FCC) solid solutions for W6-Gd HEAs. </w:t>
            </w:r>
            <w:proofErr w:type="gramStart"/>
            <w:r>
              <w:rPr>
                <w:rFonts w:ascii="Lato" w:eastAsia="Lato" w:hAnsi="Lato" w:cs="Lato"/>
              </w:rPr>
              <w:t>Whereas,</w:t>
            </w:r>
            <w:proofErr w:type="gramEnd"/>
            <w:r>
              <w:rPr>
                <w:rFonts w:ascii="Lato" w:eastAsia="Lato" w:hAnsi="Lato" w:cs="Lato"/>
              </w:rPr>
              <w:t xml:space="preserve"> the as-cast W6-Co is composed of the </w:t>
            </w:r>
            <w:proofErr w:type="spellStart"/>
            <w:r>
              <w:rPr>
                <w:rFonts w:ascii="Lato" w:eastAsia="Lato" w:hAnsi="Lato" w:cs="Lato"/>
              </w:rPr>
              <w:t>FeSi</w:t>
            </w:r>
            <w:proofErr w:type="spellEnd"/>
            <w:r>
              <w:rPr>
                <w:rFonts w:ascii="Lato" w:eastAsia="Lato" w:hAnsi="Lato" w:cs="Lato"/>
              </w:rPr>
              <w:t xml:space="preserve">-rich phase. During annealing, no new phases arise in the W6-Co HEA, indicating a good phase stability. The as-cast W5 has the highest hardness (1210 HV), which is mainly attributed to the strengthening effect of </w:t>
            </w:r>
            <w:proofErr w:type="spellStart"/>
            <w:r>
              <w:rPr>
                <w:rFonts w:ascii="Lato" w:eastAsia="Lato" w:hAnsi="Lato" w:cs="Lato"/>
              </w:rPr>
              <w:t>FeSi</w:t>
            </w:r>
            <w:proofErr w:type="spellEnd"/>
            <w:r>
              <w:rPr>
                <w:rFonts w:ascii="Lato" w:eastAsia="Lato" w:hAnsi="Lato" w:cs="Lato"/>
              </w:rPr>
              <w:t xml:space="preserve">-rich phase evenly distributed in the solid solution matrix. The tested </w:t>
            </w:r>
            <w:proofErr w:type="spellStart"/>
            <w:r>
              <w:rPr>
                <w:rFonts w:ascii="Lato" w:eastAsia="Lato" w:hAnsi="Lato" w:cs="Lato"/>
              </w:rPr>
              <w:t>FeSiBAlNi</w:t>
            </w:r>
            <w:proofErr w:type="spellEnd"/>
            <w:r>
              <w:rPr>
                <w:rFonts w:ascii="Lato" w:eastAsia="Lato" w:hAnsi="Lato" w:cs="Lato"/>
              </w:rPr>
              <w:t xml:space="preserve">-based HEAs possess soft magnetism. </w:t>
            </w:r>
            <w:r>
              <w:rPr>
                <w:rFonts w:ascii="Lato" w:eastAsia="Lato" w:hAnsi="Lato" w:cs="Lato"/>
                <w:highlight w:val="green"/>
              </w:rPr>
              <w:t>The saturated magnetization and remanence ratio of W6-Gd are distinctly enhanced from 10.93 emu/g to 62.78 emu/g</w:t>
            </w:r>
            <w:r>
              <w:rPr>
                <w:rFonts w:ascii="Lato" w:eastAsia="Lato" w:hAnsi="Lato" w:cs="Lato"/>
              </w:rPr>
              <w:t xml:space="preserve"> and from 1.44% to 15.50% after the annealing treatment, respectively. The good magnetism of the as-annealed W6-Gd can be ascribed to the formation of Gd-oxides.'</w:t>
            </w:r>
          </w:p>
        </w:tc>
        <w:tc>
          <w:tcPr>
            <w:tcW w:w="1680" w:type="dxa"/>
            <w:vMerge w:val="restart"/>
            <w:shd w:val="clear" w:color="auto" w:fill="auto"/>
            <w:tcMar>
              <w:top w:w="100" w:type="dxa"/>
              <w:left w:w="100" w:type="dxa"/>
              <w:bottom w:w="100" w:type="dxa"/>
              <w:right w:w="100" w:type="dxa"/>
            </w:tcMar>
          </w:tcPr>
          <w:p w14:paraId="35A35DB4" w14:textId="77777777" w:rsidR="000D397A" w:rsidRDefault="000D397A" w:rsidP="00581814">
            <w:pPr>
              <w:widowControl w:val="0"/>
              <w:spacing w:line="240" w:lineRule="auto"/>
              <w:rPr>
                <w:rFonts w:ascii="Lato" w:eastAsia="Lato" w:hAnsi="Lato" w:cs="Lato"/>
              </w:rPr>
            </w:pPr>
            <w:r>
              <w:rPr>
                <w:rFonts w:ascii="Lato" w:eastAsia="Lato" w:hAnsi="Lato" w:cs="Lato"/>
              </w:rPr>
              <w:t>Composition recognised.</w:t>
            </w:r>
          </w:p>
          <w:p w14:paraId="574E9CC1" w14:textId="77777777" w:rsidR="000D397A" w:rsidRDefault="000D397A" w:rsidP="00581814">
            <w:pPr>
              <w:widowControl w:val="0"/>
              <w:spacing w:line="240" w:lineRule="auto"/>
              <w:rPr>
                <w:rFonts w:ascii="Lato" w:eastAsia="Lato" w:hAnsi="Lato" w:cs="Lato"/>
              </w:rPr>
            </w:pPr>
            <w:r>
              <w:rPr>
                <w:rFonts w:ascii="Lato" w:eastAsia="Lato" w:hAnsi="Lato" w:cs="Lato"/>
              </w:rPr>
              <w:t xml:space="preserve">Values of saturation magnetisation and coercivity recognised, but no composition linked to these </w:t>
            </w:r>
            <w:r>
              <w:rPr>
                <w:rFonts w:ascii="Lato" w:eastAsia="Lato" w:hAnsi="Lato" w:cs="Lato"/>
              </w:rPr>
              <w:lastRenderedPageBreak/>
              <w:t>values. This is because of abbreviations being used.</w:t>
            </w:r>
          </w:p>
        </w:tc>
      </w:tr>
      <w:tr w:rsidR="000D397A" w14:paraId="11C3BFF9" w14:textId="77777777" w:rsidTr="00581814">
        <w:trPr>
          <w:trHeight w:val="420"/>
        </w:trPr>
        <w:tc>
          <w:tcPr>
            <w:tcW w:w="855" w:type="dxa"/>
            <w:vMerge/>
            <w:shd w:val="clear" w:color="auto" w:fill="auto"/>
            <w:tcMar>
              <w:top w:w="100" w:type="dxa"/>
              <w:left w:w="100" w:type="dxa"/>
              <w:bottom w:w="100" w:type="dxa"/>
              <w:right w:w="100" w:type="dxa"/>
            </w:tcMar>
          </w:tcPr>
          <w:p w14:paraId="26D6AB6F"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147B922D"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035881B6" wp14:editId="7574DEAF">
                  <wp:extent cx="3038475" cy="1533525"/>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038475" cy="1533525"/>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63A37B72" w14:textId="77777777" w:rsidR="000D397A" w:rsidRDefault="000D397A" w:rsidP="00581814">
            <w:pPr>
              <w:widowControl w:val="0"/>
              <w:spacing w:line="240" w:lineRule="auto"/>
              <w:rPr>
                <w:rFonts w:ascii="Lato" w:eastAsia="Lato" w:hAnsi="Lato" w:cs="Lato"/>
              </w:rPr>
            </w:pPr>
          </w:p>
        </w:tc>
      </w:tr>
      <w:tr w:rsidR="000D397A" w14:paraId="4C9CCF14" w14:textId="77777777" w:rsidTr="00581814">
        <w:trPr>
          <w:trHeight w:val="420"/>
        </w:trPr>
        <w:tc>
          <w:tcPr>
            <w:tcW w:w="855" w:type="dxa"/>
            <w:vMerge w:val="restart"/>
            <w:shd w:val="clear" w:color="auto" w:fill="auto"/>
            <w:tcMar>
              <w:top w:w="100" w:type="dxa"/>
              <w:left w:w="100" w:type="dxa"/>
              <w:bottom w:w="100" w:type="dxa"/>
              <w:right w:w="100" w:type="dxa"/>
            </w:tcMar>
          </w:tcPr>
          <w:p w14:paraId="1DA87B17" w14:textId="77777777" w:rsidR="000D397A" w:rsidRDefault="000D397A" w:rsidP="00581814">
            <w:pPr>
              <w:widowControl w:val="0"/>
              <w:spacing w:line="240" w:lineRule="auto"/>
              <w:rPr>
                <w:rFonts w:ascii="Lato" w:eastAsia="Lato" w:hAnsi="Lato" w:cs="Lato"/>
              </w:rPr>
            </w:pPr>
            <w:r>
              <w:rPr>
                <w:rFonts w:ascii="Lato" w:eastAsia="Lato" w:hAnsi="Lato" w:cs="Lato"/>
              </w:rPr>
              <w:t>[7]</w:t>
            </w:r>
          </w:p>
        </w:tc>
        <w:tc>
          <w:tcPr>
            <w:tcW w:w="11925" w:type="dxa"/>
            <w:shd w:val="clear" w:color="auto" w:fill="auto"/>
            <w:tcMar>
              <w:top w:w="100" w:type="dxa"/>
              <w:left w:w="100" w:type="dxa"/>
              <w:bottom w:w="100" w:type="dxa"/>
              <w:right w:w="100" w:type="dxa"/>
            </w:tcMar>
          </w:tcPr>
          <w:p w14:paraId="6386EDB5" w14:textId="77777777" w:rsidR="000D397A" w:rsidRDefault="000D397A" w:rsidP="00581814">
            <w:pPr>
              <w:widowControl w:val="0"/>
              <w:spacing w:line="240" w:lineRule="auto"/>
              <w:rPr>
                <w:rFonts w:ascii="Lato" w:eastAsia="Lato" w:hAnsi="Lato" w:cs="Lato"/>
              </w:rPr>
            </w:pPr>
            <w:r>
              <w:rPr>
                <w:rFonts w:ascii="Lato" w:eastAsia="Lato" w:hAnsi="Lato" w:cs="Lato"/>
              </w:rPr>
              <w:t xml:space="preserve">‘'Strong static magnetic field (SSMF) is a unique way to regulate the microstructure and improve the properties of materials. </w:t>
            </w:r>
            <w:proofErr w:type="spellStart"/>
            <w:proofErr w:type="gramStart"/>
            <w:r>
              <w:rPr>
                <w:rFonts w:ascii="Lato" w:eastAsia="Lato" w:hAnsi="Lato" w:cs="Lato"/>
                <w:highlight w:val="yellow"/>
              </w:rPr>
              <w:t>FeCoNi</w:t>
            </w:r>
            <w:proofErr w:type="spellEnd"/>
            <w:r>
              <w:rPr>
                <w:rFonts w:ascii="Lato" w:eastAsia="Lato" w:hAnsi="Lato" w:cs="Lato"/>
                <w:highlight w:val="yellow"/>
              </w:rPr>
              <w:t>(</w:t>
            </w:r>
            <w:proofErr w:type="spellStart"/>
            <w:proofErr w:type="gramEnd"/>
            <w:r>
              <w:rPr>
                <w:rFonts w:ascii="Lato" w:eastAsia="Lato" w:hAnsi="Lato" w:cs="Lato"/>
                <w:highlight w:val="yellow"/>
              </w:rPr>
              <w:t>AlSi</w:t>
            </w:r>
            <w:proofErr w:type="spellEnd"/>
            <w:r>
              <w:rPr>
                <w:rFonts w:ascii="Lato" w:eastAsia="Lato" w:hAnsi="Lato" w:cs="Lato"/>
                <w:highlight w:val="yellow"/>
              </w:rPr>
              <w:t>)0.2</w:t>
            </w:r>
            <w:r>
              <w:rPr>
                <w:rFonts w:ascii="Lato" w:eastAsia="Lato" w:hAnsi="Lato" w:cs="Lato"/>
              </w:rPr>
              <w:t xml:space="preserve"> alloy is a novel class of soft magnetic materials (SMMs) designed based on high-entropy alloy (HEA) concepts. In this study, a strong static magnetic field is introduced to tune the microstructure, mechanical, electrical and magnetic properties of </w:t>
            </w:r>
            <w:proofErr w:type="spellStart"/>
            <w:proofErr w:type="gramStart"/>
            <w:r>
              <w:rPr>
                <w:rFonts w:ascii="Lato" w:eastAsia="Lato" w:hAnsi="Lato" w:cs="Lato"/>
              </w:rPr>
              <w:t>FeCoNi</w:t>
            </w:r>
            <w:proofErr w:type="spellEnd"/>
            <w:r>
              <w:rPr>
                <w:rFonts w:ascii="Lato" w:eastAsia="Lato" w:hAnsi="Lato" w:cs="Lato"/>
              </w:rPr>
              <w:t>(</w:t>
            </w:r>
            <w:proofErr w:type="spellStart"/>
            <w:proofErr w:type="gramEnd"/>
            <w:r>
              <w:rPr>
                <w:rFonts w:ascii="Lato" w:eastAsia="Lato" w:hAnsi="Lato" w:cs="Lato"/>
              </w:rPr>
              <w:t>AlSi</w:t>
            </w:r>
            <w:proofErr w:type="spellEnd"/>
            <w:r>
              <w:rPr>
                <w:rFonts w:ascii="Lato" w:eastAsia="Lato" w:hAnsi="Lato" w:cs="Lato"/>
              </w:rPr>
              <w:t xml:space="preserve">)0.2 high-entropy alloy. Results indicate that, with the increasing magnetic field intensity, the Vickers hardness and the </w:t>
            </w:r>
            <w:r>
              <w:rPr>
                <w:rFonts w:ascii="Lato" w:eastAsia="Lato" w:hAnsi="Lato" w:cs="Lato"/>
                <w:highlight w:val="green"/>
              </w:rPr>
              <w:t>saturation magnetization (Ms) increase firstly, and then decrease and reach the maximum at 5T,</w:t>
            </w:r>
            <w:r>
              <w:rPr>
                <w:rFonts w:ascii="Cardo" w:eastAsia="Cardo" w:hAnsi="Cardo" w:cs="Cardo"/>
              </w:rPr>
              <w:t xml:space="preserve"> while the yield strength, the residual magnetization (Mr) and the coercivity (</w:t>
            </w:r>
            <w:proofErr w:type="spellStart"/>
            <w:r>
              <w:rPr>
                <w:rFonts w:ascii="Cardo" w:eastAsia="Cardo" w:hAnsi="Cardo" w:cs="Cardo"/>
              </w:rPr>
              <w:t>Hc</w:t>
            </w:r>
            <w:proofErr w:type="spellEnd"/>
            <w:r>
              <w:rPr>
                <w:rFonts w:ascii="Cardo" w:eastAsia="Cardo" w:hAnsi="Cardo" w:cs="Cardo"/>
              </w:rPr>
              <w:t>) take the opposite trend. The resistivity values (ρ) are found to be enhanced by the increasing magnetic field intensity. The main reasons for the magnetic field on the above effects are interpreted by microstructure evolution (phase species and volume fraction), atomic-level structure and defects (vacancy and dislocation density).'</w:t>
            </w:r>
          </w:p>
        </w:tc>
        <w:tc>
          <w:tcPr>
            <w:tcW w:w="1680" w:type="dxa"/>
            <w:vMerge w:val="restart"/>
            <w:shd w:val="clear" w:color="auto" w:fill="auto"/>
            <w:tcMar>
              <w:top w:w="100" w:type="dxa"/>
              <w:left w:w="100" w:type="dxa"/>
              <w:bottom w:w="100" w:type="dxa"/>
              <w:right w:w="100" w:type="dxa"/>
            </w:tcMar>
          </w:tcPr>
          <w:p w14:paraId="4A5A161D" w14:textId="77777777" w:rsidR="000D397A" w:rsidRDefault="000D397A" w:rsidP="00581814">
            <w:pPr>
              <w:widowControl w:val="0"/>
              <w:spacing w:line="240" w:lineRule="auto"/>
              <w:rPr>
                <w:rFonts w:ascii="Lato" w:eastAsia="Lato" w:hAnsi="Lato" w:cs="Lato"/>
              </w:rPr>
            </w:pPr>
            <w:r>
              <w:rPr>
                <w:rFonts w:ascii="Lato" w:eastAsia="Lato" w:hAnsi="Lato" w:cs="Lato"/>
              </w:rPr>
              <w:t>Composition recognised.</w:t>
            </w:r>
          </w:p>
          <w:p w14:paraId="7D0F3CCF" w14:textId="77777777" w:rsidR="000D397A" w:rsidRDefault="000D397A" w:rsidP="00581814">
            <w:pPr>
              <w:widowControl w:val="0"/>
              <w:spacing w:line="240" w:lineRule="auto"/>
              <w:rPr>
                <w:rFonts w:ascii="Lato" w:eastAsia="Lato" w:hAnsi="Lato" w:cs="Lato"/>
              </w:rPr>
            </w:pPr>
            <w:r>
              <w:rPr>
                <w:rFonts w:ascii="Lato" w:eastAsia="Lato" w:hAnsi="Lato" w:cs="Lato"/>
              </w:rPr>
              <w:t xml:space="preserve">Values of saturation magnetisation recognised, but no composition linked.  By elimination, it may be determined that it is </w:t>
            </w:r>
            <w:proofErr w:type="spellStart"/>
            <w:proofErr w:type="gramStart"/>
            <w:r>
              <w:rPr>
                <w:rFonts w:ascii="Lato" w:eastAsia="Lato" w:hAnsi="Lato" w:cs="Lato"/>
                <w:highlight w:val="yellow"/>
              </w:rPr>
              <w:t>FeCoNi</w:t>
            </w:r>
            <w:proofErr w:type="spellEnd"/>
            <w:r>
              <w:rPr>
                <w:rFonts w:ascii="Lato" w:eastAsia="Lato" w:hAnsi="Lato" w:cs="Lato"/>
                <w:highlight w:val="yellow"/>
              </w:rPr>
              <w:t>(</w:t>
            </w:r>
            <w:proofErr w:type="spellStart"/>
            <w:proofErr w:type="gramEnd"/>
            <w:r>
              <w:rPr>
                <w:rFonts w:ascii="Lato" w:eastAsia="Lato" w:hAnsi="Lato" w:cs="Lato"/>
                <w:highlight w:val="yellow"/>
              </w:rPr>
              <w:t>AlSi</w:t>
            </w:r>
            <w:proofErr w:type="spellEnd"/>
            <w:r>
              <w:rPr>
                <w:rFonts w:ascii="Lato" w:eastAsia="Lato" w:hAnsi="Lato" w:cs="Lato"/>
                <w:highlight w:val="yellow"/>
              </w:rPr>
              <w:t>)0.2</w:t>
            </w:r>
          </w:p>
        </w:tc>
      </w:tr>
      <w:tr w:rsidR="000D397A" w14:paraId="7F81A058" w14:textId="77777777" w:rsidTr="00581814">
        <w:trPr>
          <w:trHeight w:val="420"/>
        </w:trPr>
        <w:tc>
          <w:tcPr>
            <w:tcW w:w="855" w:type="dxa"/>
            <w:vMerge/>
            <w:shd w:val="clear" w:color="auto" w:fill="auto"/>
            <w:tcMar>
              <w:top w:w="100" w:type="dxa"/>
              <w:left w:w="100" w:type="dxa"/>
              <w:bottom w:w="100" w:type="dxa"/>
              <w:right w:w="100" w:type="dxa"/>
            </w:tcMar>
          </w:tcPr>
          <w:p w14:paraId="36C1121A"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27E02F23"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1F8FC8ED" wp14:editId="6A1BEE8F">
                  <wp:extent cx="1543050" cy="104775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543050" cy="1047750"/>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5E7D1453" w14:textId="77777777" w:rsidR="000D397A" w:rsidRDefault="000D397A" w:rsidP="00581814">
            <w:pPr>
              <w:widowControl w:val="0"/>
              <w:spacing w:line="240" w:lineRule="auto"/>
              <w:rPr>
                <w:rFonts w:ascii="Lato" w:eastAsia="Lato" w:hAnsi="Lato" w:cs="Lato"/>
              </w:rPr>
            </w:pPr>
          </w:p>
        </w:tc>
      </w:tr>
      <w:tr w:rsidR="000D397A" w14:paraId="2E2EF45C" w14:textId="77777777" w:rsidTr="00581814">
        <w:trPr>
          <w:trHeight w:val="420"/>
        </w:trPr>
        <w:tc>
          <w:tcPr>
            <w:tcW w:w="855" w:type="dxa"/>
            <w:vMerge w:val="restart"/>
            <w:shd w:val="clear" w:color="auto" w:fill="auto"/>
            <w:tcMar>
              <w:top w:w="100" w:type="dxa"/>
              <w:left w:w="100" w:type="dxa"/>
              <w:bottom w:w="100" w:type="dxa"/>
              <w:right w:w="100" w:type="dxa"/>
            </w:tcMar>
          </w:tcPr>
          <w:p w14:paraId="2AF15B43" w14:textId="77777777" w:rsidR="000D397A" w:rsidRDefault="000D397A" w:rsidP="00581814">
            <w:pPr>
              <w:widowControl w:val="0"/>
              <w:spacing w:line="240" w:lineRule="auto"/>
              <w:rPr>
                <w:rFonts w:ascii="Lato" w:eastAsia="Lato" w:hAnsi="Lato" w:cs="Lato"/>
              </w:rPr>
            </w:pPr>
            <w:r>
              <w:rPr>
                <w:rFonts w:ascii="Lato" w:eastAsia="Lato" w:hAnsi="Lato" w:cs="Lato"/>
              </w:rPr>
              <w:t>[8]</w:t>
            </w:r>
          </w:p>
        </w:tc>
        <w:tc>
          <w:tcPr>
            <w:tcW w:w="11925" w:type="dxa"/>
            <w:shd w:val="clear" w:color="auto" w:fill="auto"/>
            <w:tcMar>
              <w:top w:w="100" w:type="dxa"/>
              <w:left w:w="100" w:type="dxa"/>
              <w:bottom w:w="100" w:type="dxa"/>
              <w:right w:w="100" w:type="dxa"/>
            </w:tcMar>
          </w:tcPr>
          <w:p w14:paraId="0846E698" w14:textId="77777777" w:rsidR="000D397A" w:rsidRDefault="000D397A" w:rsidP="00581814">
            <w:pPr>
              <w:widowControl w:val="0"/>
              <w:spacing w:line="240" w:lineRule="auto"/>
              <w:rPr>
                <w:rFonts w:ascii="Lato" w:eastAsia="Lato" w:hAnsi="Lato" w:cs="Lato"/>
              </w:rPr>
            </w:pPr>
            <w:r>
              <w:rPr>
                <w:rFonts w:ascii="Lato" w:eastAsia="Lato" w:hAnsi="Lato" w:cs="Lato"/>
                <w:highlight w:val="yellow"/>
              </w:rPr>
              <w:t>'FeB@SiO2 amorphous particles were firstly introduced into Ga85.8In14.2 alloys to prepare metal-based magnetic fluids.</w:t>
            </w:r>
            <w:r>
              <w:rPr>
                <w:rFonts w:ascii="Lato" w:eastAsia="Lato" w:hAnsi="Lato" w:cs="Lato"/>
              </w:rPr>
              <w:t xml:space="preserve"> The morphology of the </w:t>
            </w:r>
            <w:proofErr w:type="spellStart"/>
            <w:r>
              <w:rPr>
                <w:rFonts w:ascii="Lato" w:eastAsia="Lato" w:hAnsi="Lato" w:cs="Lato"/>
              </w:rPr>
              <w:t>FeB</w:t>
            </w:r>
            <w:proofErr w:type="spellEnd"/>
            <w:r>
              <w:rPr>
                <w:rFonts w:ascii="Lato" w:eastAsia="Lato" w:hAnsi="Lato" w:cs="Lato"/>
              </w:rPr>
              <w:t xml:space="preserve"> amorphous particles is spherical with an average particle size of about 190 nm. The shape of the particles is </w:t>
            </w:r>
            <w:proofErr w:type="gramStart"/>
            <w:r>
              <w:rPr>
                <w:rFonts w:ascii="Lato" w:eastAsia="Lato" w:hAnsi="Lato" w:cs="Lato"/>
              </w:rPr>
              <w:t>regular</w:t>
            </w:r>
            <w:proofErr w:type="gramEnd"/>
            <w:r>
              <w:rPr>
                <w:rFonts w:ascii="Lato" w:eastAsia="Lato" w:hAnsi="Lato" w:cs="Lato"/>
              </w:rPr>
              <w:t xml:space="preserve"> and the particle size is homogeneous. Stable core-shell structure SiO2 modified </w:t>
            </w:r>
            <w:proofErr w:type="spellStart"/>
            <w:r>
              <w:rPr>
                <w:rFonts w:ascii="Lato" w:eastAsia="Lato" w:hAnsi="Lato" w:cs="Lato"/>
              </w:rPr>
              <w:t>FeB</w:t>
            </w:r>
            <w:proofErr w:type="spellEnd"/>
            <w:r>
              <w:rPr>
                <w:rFonts w:ascii="Lato" w:eastAsia="Lato" w:hAnsi="Lato" w:cs="Lato"/>
              </w:rPr>
              <w:t xml:space="preserve"> amorphous particles are obtained and the thickness of the SiO2 coatings is observed to be about 40 nm. The results of VSM confirm that </w:t>
            </w:r>
            <w:r>
              <w:rPr>
                <w:rFonts w:ascii="Lato" w:eastAsia="Lato" w:hAnsi="Lato" w:cs="Lato"/>
                <w:highlight w:val="green"/>
              </w:rPr>
              <w:t xml:space="preserve">the saturation magnetization of the </w:t>
            </w:r>
            <w:proofErr w:type="spellStart"/>
            <w:r>
              <w:rPr>
                <w:rFonts w:ascii="Lato" w:eastAsia="Lato" w:hAnsi="Lato" w:cs="Lato"/>
                <w:highlight w:val="yellow"/>
              </w:rPr>
              <w:t>FeB</w:t>
            </w:r>
            <w:proofErr w:type="spellEnd"/>
            <w:r>
              <w:rPr>
                <w:rFonts w:ascii="Lato" w:eastAsia="Lato" w:hAnsi="Lato" w:cs="Lato"/>
                <w:highlight w:val="green"/>
              </w:rPr>
              <w:t xml:space="preserve"> amorphous particles is 131.5 emu g-1</w:t>
            </w:r>
            <w:r>
              <w:rPr>
                <w:rFonts w:ascii="Lato" w:eastAsia="Lato" w:hAnsi="Lato" w:cs="Lato"/>
              </w:rPr>
              <w:t xml:space="preserve">, which is almost two times higher </w:t>
            </w:r>
            <w:r>
              <w:rPr>
                <w:rFonts w:ascii="Lato" w:eastAsia="Lato" w:hAnsi="Lato" w:cs="Lato"/>
              </w:rPr>
              <w:lastRenderedPageBreak/>
              <w:t xml:space="preserve">than that of the Fe3O4 particles. </w:t>
            </w:r>
            <w:r>
              <w:rPr>
                <w:rFonts w:ascii="Lato" w:eastAsia="Lato" w:hAnsi="Lato" w:cs="Lato"/>
                <w:highlight w:val="green"/>
              </w:rPr>
              <w:t xml:space="preserve">The saturation magnetization of the </w:t>
            </w:r>
            <w:r>
              <w:rPr>
                <w:rFonts w:ascii="Lato" w:eastAsia="Lato" w:hAnsi="Lato" w:cs="Lato"/>
                <w:highlight w:val="yellow"/>
              </w:rPr>
              <w:t xml:space="preserve">FeB@SiO2 </w:t>
            </w:r>
            <w:r>
              <w:rPr>
                <w:rFonts w:ascii="Lato" w:eastAsia="Lato" w:hAnsi="Lato" w:cs="Lato"/>
                <w:highlight w:val="green"/>
              </w:rPr>
              <w:t>amorphous particles is 106.9 emu g-1,</w:t>
            </w:r>
            <w:r>
              <w:rPr>
                <w:rFonts w:ascii="Lato" w:eastAsia="Lato" w:hAnsi="Lato" w:cs="Lato"/>
              </w:rPr>
              <w:t xml:space="preserve"> an approximate decrease of 18.7% due to the non-magnetic SiO2 coatings. The results from the torsional oscillation viscometer show that the metal-based magnetic fluids with </w:t>
            </w:r>
            <w:proofErr w:type="spellStart"/>
            <w:r>
              <w:rPr>
                <w:rFonts w:ascii="Lato" w:eastAsia="Lato" w:hAnsi="Lato" w:cs="Lato"/>
              </w:rPr>
              <w:t>FeB</w:t>
            </w:r>
            <w:proofErr w:type="spellEnd"/>
            <w:r>
              <w:rPr>
                <w:rFonts w:ascii="Lato" w:eastAsia="Lato" w:hAnsi="Lato" w:cs="Lato"/>
              </w:rPr>
              <w:t xml:space="preserve"> amorphous particles exhibit a desirable high temperature performance and are ideal candidates for high temperature use.'</w:t>
            </w:r>
          </w:p>
        </w:tc>
        <w:tc>
          <w:tcPr>
            <w:tcW w:w="1680" w:type="dxa"/>
            <w:vMerge w:val="restart"/>
            <w:shd w:val="clear" w:color="auto" w:fill="auto"/>
            <w:tcMar>
              <w:top w:w="100" w:type="dxa"/>
              <w:left w:w="100" w:type="dxa"/>
              <w:bottom w:w="100" w:type="dxa"/>
              <w:right w:w="100" w:type="dxa"/>
            </w:tcMar>
          </w:tcPr>
          <w:p w14:paraId="2309131D" w14:textId="77777777" w:rsidR="000D397A" w:rsidRDefault="000D397A" w:rsidP="00581814">
            <w:pPr>
              <w:widowControl w:val="0"/>
              <w:spacing w:line="240" w:lineRule="auto"/>
              <w:rPr>
                <w:rFonts w:ascii="Lato" w:eastAsia="Lato" w:hAnsi="Lato" w:cs="Lato"/>
              </w:rPr>
            </w:pPr>
            <w:r>
              <w:rPr>
                <w:rFonts w:ascii="Lato" w:eastAsia="Lato" w:hAnsi="Lato" w:cs="Lato"/>
              </w:rPr>
              <w:lastRenderedPageBreak/>
              <w:t xml:space="preserve">Composition </w:t>
            </w:r>
            <w:proofErr w:type="gramStart"/>
            <w:r>
              <w:rPr>
                <w:rFonts w:ascii="Lato" w:eastAsia="Lato" w:hAnsi="Lato" w:cs="Lato"/>
              </w:rPr>
              <w:t>recognised,</w:t>
            </w:r>
            <w:proofErr w:type="gramEnd"/>
            <w:r>
              <w:rPr>
                <w:rFonts w:ascii="Lato" w:eastAsia="Lato" w:hAnsi="Lato" w:cs="Lato"/>
              </w:rPr>
              <w:t xml:space="preserve"> saturation magnetisation picked up </w:t>
            </w:r>
            <w:r>
              <w:rPr>
                <w:rFonts w:ascii="Lato" w:eastAsia="Lato" w:hAnsi="Lato" w:cs="Lato"/>
              </w:rPr>
              <w:lastRenderedPageBreak/>
              <w:t>correctly</w:t>
            </w:r>
          </w:p>
        </w:tc>
      </w:tr>
      <w:tr w:rsidR="000D397A" w14:paraId="599E0DCA" w14:textId="77777777" w:rsidTr="00581814">
        <w:trPr>
          <w:trHeight w:val="420"/>
        </w:trPr>
        <w:tc>
          <w:tcPr>
            <w:tcW w:w="855" w:type="dxa"/>
            <w:vMerge/>
            <w:shd w:val="clear" w:color="auto" w:fill="auto"/>
            <w:tcMar>
              <w:top w:w="100" w:type="dxa"/>
              <w:left w:w="100" w:type="dxa"/>
              <w:bottom w:w="100" w:type="dxa"/>
              <w:right w:w="100" w:type="dxa"/>
            </w:tcMar>
          </w:tcPr>
          <w:p w14:paraId="5A61496F" w14:textId="77777777" w:rsidR="000D397A" w:rsidRDefault="000D397A"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614B0342" w14:textId="77777777" w:rsidR="000D397A" w:rsidRDefault="000D397A" w:rsidP="00581814">
            <w:pPr>
              <w:widowControl w:val="0"/>
              <w:spacing w:line="240" w:lineRule="auto"/>
              <w:rPr>
                <w:rFonts w:ascii="Lato" w:eastAsia="Lato" w:hAnsi="Lato" w:cs="Lato"/>
              </w:rPr>
            </w:pPr>
            <w:r>
              <w:rPr>
                <w:rFonts w:ascii="Lato" w:eastAsia="Lato" w:hAnsi="Lato" w:cs="Lato"/>
                <w:noProof/>
              </w:rPr>
              <w:drawing>
                <wp:inline distT="114300" distB="114300" distL="114300" distR="114300" wp14:anchorId="4C9BC235" wp14:editId="0E76586E">
                  <wp:extent cx="2257425" cy="2200275"/>
                  <wp:effectExtent l="0" t="0" r="0" b="0"/>
                  <wp:docPr id="3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2257425" cy="2200275"/>
                          </a:xfrm>
                          <a:prstGeom prst="rect">
                            <a:avLst/>
                          </a:prstGeom>
                          <a:ln/>
                        </pic:spPr>
                      </pic:pic>
                    </a:graphicData>
                  </a:graphic>
                </wp:inline>
              </w:drawing>
            </w:r>
          </w:p>
        </w:tc>
        <w:tc>
          <w:tcPr>
            <w:tcW w:w="1680" w:type="dxa"/>
            <w:vMerge/>
            <w:shd w:val="clear" w:color="auto" w:fill="auto"/>
            <w:tcMar>
              <w:top w:w="100" w:type="dxa"/>
              <w:left w:w="100" w:type="dxa"/>
              <w:bottom w:w="100" w:type="dxa"/>
              <w:right w:w="100" w:type="dxa"/>
            </w:tcMar>
          </w:tcPr>
          <w:p w14:paraId="15C8F650" w14:textId="77777777" w:rsidR="000D397A" w:rsidRDefault="000D397A" w:rsidP="00581814">
            <w:pPr>
              <w:widowControl w:val="0"/>
              <w:spacing w:line="240" w:lineRule="auto"/>
              <w:rPr>
                <w:rFonts w:ascii="Lato" w:eastAsia="Lato" w:hAnsi="Lato" w:cs="Lato"/>
              </w:rPr>
            </w:pPr>
          </w:p>
        </w:tc>
      </w:tr>
    </w:tbl>
    <w:p w14:paraId="1F83D71A" w14:textId="77777777" w:rsidR="000D397A" w:rsidRDefault="000D397A" w:rsidP="000D397A">
      <w:pPr>
        <w:spacing w:after="160" w:line="259" w:lineRule="auto"/>
        <w:rPr>
          <w:rFonts w:ascii="Lato" w:eastAsia="Lato" w:hAnsi="Lato" w:cs="Lato"/>
        </w:rPr>
      </w:pPr>
    </w:p>
    <w:p w14:paraId="1FDFB652" w14:textId="77777777" w:rsidR="000D397A" w:rsidRDefault="000D397A" w:rsidP="000D397A">
      <w:pPr>
        <w:spacing w:after="160" w:line="259" w:lineRule="auto"/>
        <w:rPr>
          <w:rFonts w:ascii="Lato" w:eastAsia="Lato" w:hAnsi="Lato" w:cs="Lato"/>
          <w:b/>
        </w:rPr>
      </w:pPr>
      <w:r>
        <w:br w:type="page"/>
      </w:r>
    </w:p>
    <w:p w14:paraId="60CD65B8" w14:textId="77777777" w:rsidR="00E10D6D" w:rsidRDefault="00E10D6D"/>
    <w:sectPr w:rsidR="00E10D6D" w:rsidSect="000D39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rdo">
    <w:altName w:val="Calibri"/>
    <w:charset w:val="00"/>
    <w:family w:val="auto"/>
    <w:pitch w:val="default"/>
  </w:font>
  <w:font w:name="Andika">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7A"/>
    <w:rsid w:val="000D397A"/>
    <w:rsid w:val="00E10D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A4DA"/>
  <w15:chartTrackingRefBased/>
  <w15:docId w15:val="{1C42C858-A509-4A63-9C13-E54FBAEF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A"/>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071B-7EC7-423F-B447-6FC2106A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Morley</dc:creator>
  <cp:keywords/>
  <dc:description/>
  <cp:lastModifiedBy>Nicola Morley</cp:lastModifiedBy>
  <cp:revision>1</cp:revision>
  <dcterms:created xsi:type="dcterms:W3CDTF">2023-01-04T16:07:00Z</dcterms:created>
  <dcterms:modified xsi:type="dcterms:W3CDTF">2023-01-04T16:07:00Z</dcterms:modified>
</cp:coreProperties>
</file>